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hAnsi="宋体"/>
          <w:sz w:val="28"/>
          <w:szCs w:val="28"/>
        </w:rPr>
      </w:pPr>
      <w:r>
        <w:rPr>
          <w:rFonts w:hint="eastAsia" w:hAnsi="宋体"/>
          <w:sz w:val="28"/>
          <w:szCs w:val="28"/>
        </w:rPr>
        <w:drawing>
          <wp:inline distT="0" distB="0" distL="114300" distR="114300">
            <wp:extent cx="5251450" cy="986790"/>
            <wp:effectExtent l="0" t="0" r="635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51450" cy="986790"/>
                    </a:xfrm>
                    <a:prstGeom prst="rect">
                      <a:avLst/>
                    </a:prstGeom>
                    <a:noFill/>
                    <a:ln>
                      <a:noFill/>
                    </a:ln>
                  </pic:spPr>
                </pic:pic>
              </a:graphicData>
            </a:graphic>
          </wp:inline>
        </w:drawing>
      </w:r>
    </w:p>
    <w:p>
      <w:pPr>
        <w:tabs>
          <w:tab w:val="left" w:pos="420"/>
          <w:tab w:val="left" w:pos="6660"/>
        </w:tabs>
        <w:spacing w:line="1600" w:lineRule="atLeast"/>
        <w:jc w:val="center"/>
        <w:rPr>
          <w:rFonts w:ascii="宋体" w:hAnsi="宋体" w:cs="宋体"/>
          <w:sz w:val="28"/>
          <w:szCs w:val="28"/>
        </w:rPr>
      </w:pPr>
    </w:p>
    <w:p>
      <w:pPr>
        <w:tabs>
          <w:tab w:val="left" w:pos="420"/>
          <w:tab w:val="left" w:pos="6660"/>
        </w:tabs>
        <w:spacing w:line="1600" w:lineRule="atLeast"/>
        <w:jc w:val="center"/>
        <w:rPr>
          <w:rFonts w:ascii="宋体" w:hAnsi="宋体" w:cs="宋体"/>
          <w:b/>
          <w:sz w:val="72"/>
          <w:szCs w:val="72"/>
        </w:rPr>
      </w:pPr>
      <w:bookmarkStart w:id="13" w:name="_GoBack"/>
      <w:r>
        <w:rPr>
          <w:rFonts w:hint="eastAsia" w:ascii="宋体" w:hAnsi="宋体" w:cs="宋体"/>
          <w:b/>
          <w:sz w:val="72"/>
          <w:szCs w:val="72"/>
        </w:rPr>
        <w:t>公开招标</w:t>
      </w:r>
      <w:bookmarkEnd w:id="13"/>
      <w:r>
        <w:rPr>
          <w:rFonts w:hint="eastAsia" w:ascii="宋体" w:hAnsi="宋体" w:cs="宋体"/>
          <w:b/>
          <w:sz w:val="72"/>
          <w:szCs w:val="72"/>
        </w:rPr>
        <w:t>文件</w:t>
      </w:r>
    </w:p>
    <w:p>
      <w:pPr>
        <w:spacing w:line="500" w:lineRule="exact"/>
        <w:jc w:val="center"/>
        <w:rPr>
          <w:rFonts w:ascii="宋体" w:hAnsi="宋体" w:cs="宋体"/>
          <w:bCs/>
          <w:sz w:val="28"/>
          <w:szCs w:val="28"/>
        </w:rPr>
      </w:pPr>
    </w:p>
    <w:p>
      <w:pPr>
        <w:spacing w:line="500" w:lineRule="exact"/>
        <w:jc w:val="center"/>
        <w:rPr>
          <w:rFonts w:ascii="宋体" w:hAnsi="宋体" w:cs="宋体"/>
          <w:bCs/>
          <w:sz w:val="28"/>
          <w:szCs w:val="28"/>
        </w:rPr>
      </w:pPr>
    </w:p>
    <w:p>
      <w:pPr>
        <w:spacing w:line="500" w:lineRule="exact"/>
        <w:jc w:val="center"/>
        <w:rPr>
          <w:rFonts w:ascii="宋体" w:hAnsi="宋体" w:cs="宋体"/>
          <w:bCs/>
          <w:sz w:val="28"/>
          <w:szCs w:val="28"/>
        </w:rPr>
      </w:pPr>
    </w:p>
    <w:p>
      <w:pPr>
        <w:spacing w:line="500" w:lineRule="exact"/>
        <w:jc w:val="center"/>
        <w:rPr>
          <w:rFonts w:ascii="宋体" w:hAnsi="宋体" w:cs="宋体"/>
          <w:b/>
          <w:bCs/>
          <w:sz w:val="28"/>
          <w:szCs w:val="28"/>
        </w:rPr>
      </w:pPr>
    </w:p>
    <w:p>
      <w:pPr>
        <w:spacing w:line="360" w:lineRule="auto"/>
        <w:rPr>
          <w:rFonts w:hint="eastAsia" w:ascii="宋体" w:hAnsi="宋体" w:cs="宋体"/>
          <w:b/>
          <w:bCs/>
          <w:sz w:val="36"/>
          <w:szCs w:val="36"/>
        </w:rPr>
      </w:pPr>
      <w:r>
        <w:rPr>
          <w:rFonts w:hint="eastAsia" w:ascii="宋体" w:hAnsi="宋体" w:cs="宋体"/>
          <w:b/>
          <w:bCs/>
          <w:sz w:val="36"/>
          <w:szCs w:val="36"/>
        </w:rPr>
        <w:t>采购项目名称：采购</w:t>
      </w:r>
      <w:r>
        <w:rPr>
          <w:rFonts w:hint="eastAsia" w:ascii="宋体" w:hAnsi="宋体" w:cs="宋体"/>
          <w:b/>
          <w:bCs/>
          <w:color w:val="auto"/>
          <w:sz w:val="36"/>
          <w:szCs w:val="36"/>
          <w:highlight w:val="none"/>
        </w:rPr>
        <w:t>碘</w:t>
      </w:r>
      <w:r>
        <w:rPr>
          <w:rFonts w:hint="eastAsia" w:ascii="宋体" w:hAnsi="宋体" w:cs="宋体"/>
          <w:b/>
          <w:bCs/>
          <w:sz w:val="36"/>
          <w:szCs w:val="36"/>
        </w:rPr>
        <w:t>[</w:t>
      </w:r>
      <w:r>
        <w:rPr>
          <w:rFonts w:hint="eastAsia" w:ascii="宋体" w:hAnsi="宋体" w:cs="宋体"/>
          <w:b/>
          <w:bCs/>
          <w:sz w:val="36"/>
          <w:szCs w:val="36"/>
          <w:vertAlign w:val="superscript"/>
        </w:rPr>
        <w:t>125</w:t>
      </w:r>
      <w:r>
        <w:rPr>
          <w:rFonts w:hint="eastAsia" w:ascii="宋体" w:hAnsi="宋体" w:cs="宋体"/>
          <w:b/>
          <w:bCs/>
          <w:sz w:val="36"/>
          <w:szCs w:val="36"/>
        </w:rPr>
        <w:t>I]密封籽源相关技术服务</w:t>
      </w:r>
    </w:p>
    <w:p>
      <w:pPr>
        <w:spacing w:line="360" w:lineRule="auto"/>
        <w:rPr>
          <w:rFonts w:hint="eastAsia" w:ascii="宋体" w:hAnsi="宋体" w:cs="宋体"/>
          <w:b/>
          <w:bCs/>
          <w:sz w:val="36"/>
          <w:szCs w:val="36"/>
        </w:rPr>
      </w:pPr>
    </w:p>
    <w:p>
      <w:pPr>
        <w:spacing w:line="360" w:lineRule="auto"/>
        <w:rPr>
          <w:rFonts w:hint="default" w:ascii="宋体" w:hAnsi="宋体" w:eastAsia="宋体" w:cs="宋体"/>
          <w:b/>
          <w:bCs/>
          <w:sz w:val="36"/>
          <w:szCs w:val="36"/>
          <w:lang w:val="en-US" w:eastAsia="zh-CN"/>
        </w:rPr>
      </w:pPr>
      <w:r>
        <w:rPr>
          <w:rFonts w:hint="eastAsia" w:ascii="宋体" w:hAnsi="宋体" w:cs="宋体"/>
          <w:b/>
          <w:bCs/>
          <w:sz w:val="36"/>
          <w:szCs w:val="36"/>
          <w:lang w:val="en-US" w:eastAsia="zh-CN"/>
        </w:rPr>
        <w:t>采购人：天津赛德生物制药有限公司</w:t>
      </w:r>
    </w:p>
    <w:p>
      <w:pPr>
        <w:spacing w:line="360" w:lineRule="auto"/>
        <w:jc w:val="center"/>
        <w:rPr>
          <w:rFonts w:ascii="宋体" w:hAnsi="宋体" w:cs="宋体"/>
          <w:b/>
          <w:bCs/>
          <w:sz w:val="28"/>
          <w:szCs w:val="28"/>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jc w:val="center"/>
        <w:outlineLvl w:val="0"/>
        <w:rPr>
          <w:rFonts w:ascii="仿宋" w:hAnsi="仿宋" w:eastAsia="仿宋"/>
          <w:b/>
          <w:sz w:val="28"/>
          <w:szCs w:val="28"/>
        </w:rPr>
      </w:pPr>
      <w:bookmarkStart w:id="0" w:name="_Toc535572470"/>
      <w:bookmarkStart w:id="1" w:name="_Toc14712066"/>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bookmarkEnd w:id="0"/>
    <w:bookmarkEnd w:id="1"/>
    <w:p>
      <w:pPr>
        <w:jc w:val="center"/>
        <w:outlineLvl w:val="0"/>
        <w:rPr>
          <w:rFonts w:ascii="宋体" w:hAnsi="宋体" w:cs="宋体"/>
          <w:b/>
          <w:sz w:val="28"/>
          <w:szCs w:val="28"/>
        </w:rPr>
      </w:pPr>
      <w:bookmarkStart w:id="2" w:name="_Toc523928430"/>
      <w:bookmarkStart w:id="3" w:name="_Toc14712068"/>
      <w:r>
        <w:rPr>
          <w:rFonts w:hint="eastAsia" w:ascii="宋体" w:hAnsi="宋体" w:cs="宋体"/>
          <w:b/>
          <w:sz w:val="28"/>
          <w:szCs w:val="28"/>
        </w:rPr>
        <w:t>目      录</w:t>
      </w:r>
      <w:bookmarkEnd w:id="2"/>
      <w:bookmarkEnd w:id="3"/>
    </w:p>
    <w:p>
      <w:pPr>
        <w:pStyle w:val="5"/>
        <w:tabs>
          <w:tab w:val="right" w:leader="dot" w:pos="9061"/>
        </w:tabs>
        <w:spacing w:line="480" w:lineRule="auto"/>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"1-1" \h \z \u </w:instrText>
      </w:r>
      <w:r>
        <w:rPr>
          <w:rFonts w:hint="eastAsia" w:ascii="宋体" w:hAnsi="宋体" w:cs="宋体"/>
          <w:sz w:val="28"/>
          <w:szCs w:val="28"/>
        </w:rPr>
        <w:fldChar w:fldCharType="separate"/>
      </w:r>
    </w:p>
    <w:p>
      <w:pPr>
        <w:pStyle w:val="5"/>
        <w:tabs>
          <w:tab w:val="right" w:leader="dot" w:pos="9061"/>
        </w:tabs>
        <w:spacing w:line="480" w:lineRule="auto"/>
        <w:rPr>
          <w:rFonts w:ascii="宋体" w:hAnsi="宋体" w:cs="宋体"/>
          <w:sz w:val="28"/>
          <w:szCs w:val="28"/>
        </w:rPr>
      </w:pPr>
      <w:r>
        <w:fldChar w:fldCharType="begin"/>
      </w:r>
      <w:r>
        <w:instrText xml:space="preserve"> HYPERLINK \l "_Toc14712069" </w:instrText>
      </w:r>
      <w:r>
        <w:fldChar w:fldCharType="separate"/>
      </w:r>
      <w:r>
        <w:rPr>
          <w:rStyle w:val="10"/>
          <w:rFonts w:hint="eastAsia" w:ascii="宋体" w:hAnsi="宋体" w:cs="宋体"/>
          <w:color w:val="auto"/>
          <w:sz w:val="28"/>
          <w:szCs w:val="28"/>
        </w:rPr>
        <w:t>第一部分  投标邀请函</w:t>
      </w:r>
      <w:r>
        <w:rPr>
          <w:rFonts w:hint="eastAsia" w:ascii="宋体" w:hAnsi="宋体" w:cs="宋体"/>
          <w:sz w:val="28"/>
          <w:szCs w:val="28"/>
        </w:rPr>
        <w:tab/>
      </w:r>
      <w:r>
        <w:rPr>
          <w:rFonts w:hint="eastAsia" w:ascii="宋体" w:hAnsi="宋体" w:cs="宋体"/>
          <w:sz w:val="28"/>
          <w:szCs w:val="28"/>
        </w:rPr>
        <w:t>3</w:t>
      </w:r>
      <w:r>
        <w:rPr>
          <w:rFonts w:hint="eastAsia" w:ascii="宋体" w:hAnsi="宋体" w:cs="宋体"/>
          <w:sz w:val="28"/>
          <w:szCs w:val="28"/>
        </w:rPr>
        <w:fldChar w:fldCharType="end"/>
      </w:r>
    </w:p>
    <w:p>
      <w:pPr>
        <w:pStyle w:val="5"/>
        <w:tabs>
          <w:tab w:val="right" w:leader="dot" w:pos="9061"/>
        </w:tabs>
        <w:spacing w:line="480" w:lineRule="auto"/>
        <w:rPr>
          <w:rFonts w:ascii="宋体" w:hAnsi="宋体" w:cs="宋体"/>
          <w:sz w:val="28"/>
          <w:szCs w:val="28"/>
        </w:rPr>
      </w:pPr>
      <w:r>
        <w:fldChar w:fldCharType="begin"/>
      </w:r>
      <w:r>
        <w:instrText xml:space="preserve"> HYPERLINK \l "_Toc14712070" </w:instrText>
      </w:r>
      <w:r>
        <w:fldChar w:fldCharType="separate"/>
      </w:r>
      <w:r>
        <w:rPr>
          <w:rStyle w:val="10"/>
          <w:rFonts w:hint="eastAsia" w:ascii="宋体" w:hAnsi="宋体" w:cs="宋体"/>
          <w:color w:val="auto"/>
          <w:sz w:val="28"/>
          <w:szCs w:val="28"/>
        </w:rPr>
        <w:t>第二部分　采购项目内容</w:t>
      </w:r>
      <w:r>
        <w:rPr>
          <w:rFonts w:hint="eastAsia" w:ascii="宋体" w:hAnsi="宋体" w:cs="宋体"/>
          <w:sz w:val="28"/>
          <w:szCs w:val="28"/>
        </w:rPr>
        <w:tab/>
      </w:r>
      <w:r>
        <w:rPr>
          <w:rFonts w:hint="eastAsia" w:ascii="宋体" w:hAnsi="宋体" w:cs="宋体"/>
          <w:sz w:val="28"/>
          <w:szCs w:val="28"/>
        </w:rPr>
        <w:t>4</w:t>
      </w:r>
      <w:r>
        <w:rPr>
          <w:rFonts w:hint="eastAsia" w:ascii="宋体" w:hAnsi="宋体" w:cs="宋体"/>
          <w:sz w:val="28"/>
          <w:szCs w:val="28"/>
        </w:rPr>
        <w:fldChar w:fldCharType="end"/>
      </w:r>
    </w:p>
    <w:p>
      <w:pPr>
        <w:pStyle w:val="5"/>
        <w:tabs>
          <w:tab w:val="right" w:leader="dot" w:pos="9061"/>
        </w:tabs>
        <w:spacing w:line="480" w:lineRule="auto"/>
        <w:rPr>
          <w:rFonts w:ascii="宋体" w:hAnsi="宋体" w:cs="宋体"/>
          <w:sz w:val="28"/>
          <w:szCs w:val="28"/>
        </w:rPr>
      </w:pPr>
      <w:r>
        <w:fldChar w:fldCharType="begin"/>
      </w:r>
      <w:r>
        <w:instrText xml:space="preserve"> HYPERLINK \l "_Toc14712071" </w:instrText>
      </w:r>
      <w:r>
        <w:fldChar w:fldCharType="separate"/>
      </w:r>
      <w:r>
        <w:rPr>
          <w:rStyle w:val="10"/>
          <w:rFonts w:hint="eastAsia" w:ascii="宋体" w:hAnsi="宋体" w:cs="宋体"/>
          <w:color w:val="auto"/>
          <w:sz w:val="28"/>
          <w:szCs w:val="28"/>
        </w:rPr>
        <w:t>第三部分　投标人资格要求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_Toc14712071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5"/>
        <w:tabs>
          <w:tab w:val="right" w:leader="dot" w:pos="9061"/>
        </w:tabs>
        <w:spacing w:line="480" w:lineRule="auto"/>
        <w:rPr>
          <w:rFonts w:ascii="宋体" w:hAnsi="宋体" w:cs="宋体"/>
          <w:sz w:val="28"/>
          <w:szCs w:val="28"/>
        </w:rPr>
      </w:pPr>
      <w:r>
        <w:fldChar w:fldCharType="begin"/>
      </w:r>
      <w:r>
        <w:instrText xml:space="preserve"> HYPERLINK \l "_Toc14712072" </w:instrText>
      </w:r>
      <w:r>
        <w:fldChar w:fldCharType="separate"/>
      </w:r>
      <w:r>
        <w:rPr>
          <w:rStyle w:val="10"/>
          <w:rFonts w:hint="eastAsia" w:ascii="宋体" w:hAnsi="宋体" w:cs="宋体"/>
          <w:color w:val="auto"/>
          <w:sz w:val="28"/>
          <w:szCs w:val="28"/>
        </w:rPr>
        <w:t>第四部分　合同格式</w:t>
      </w:r>
      <w:r>
        <w:rPr>
          <w:rFonts w:hint="eastAsia" w:ascii="宋体" w:hAnsi="宋体" w:cs="宋体"/>
          <w:sz w:val="28"/>
          <w:szCs w:val="28"/>
        </w:rPr>
        <w:tab/>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1</w:t>
      </w:r>
    </w:p>
    <w:p>
      <w:pPr>
        <w:spacing w:line="480" w:lineRule="auto"/>
        <w:ind w:firstLine="478" w:firstLineChars="171"/>
        <w:jc w:val="center"/>
        <w:rPr>
          <w:rFonts w:ascii="仿宋" w:hAnsi="仿宋" w:eastAsia="仿宋"/>
          <w:szCs w:val="21"/>
        </w:rPr>
      </w:pPr>
      <w:r>
        <w:rPr>
          <w:rFonts w:hint="eastAsia" w:ascii="宋体" w:hAnsi="宋体" w:cs="宋体"/>
          <w:sz w:val="28"/>
          <w:szCs w:val="28"/>
        </w:rPr>
        <w:fldChar w:fldCharType="end"/>
      </w:r>
    </w:p>
    <w:p>
      <w:pPr>
        <w:jc w:val="center"/>
        <w:outlineLvl w:val="0"/>
        <w:rPr>
          <w:rFonts w:ascii="仿宋" w:hAnsi="仿宋" w:eastAsia="仿宋"/>
          <w:szCs w:val="21"/>
        </w:rPr>
      </w:pPr>
      <w:r>
        <w:rPr>
          <w:rFonts w:hint="eastAsia" w:ascii="仿宋" w:hAnsi="仿宋" w:eastAsia="仿宋"/>
          <w:szCs w:val="21"/>
        </w:rPr>
        <w:br w:type="page"/>
      </w:r>
      <w:bookmarkStart w:id="4" w:name="_Toc14712069"/>
    </w:p>
    <w:p>
      <w:pPr>
        <w:jc w:val="center"/>
        <w:outlineLvl w:val="0"/>
        <w:rPr>
          <w:rFonts w:ascii="仿宋" w:hAnsi="仿宋" w:eastAsia="仿宋"/>
          <w:szCs w:val="21"/>
        </w:rPr>
      </w:pPr>
    </w:p>
    <w:p>
      <w:pPr>
        <w:jc w:val="left"/>
        <w:outlineLvl w:val="0"/>
        <w:rPr>
          <w:rFonts w:ascii="宋体" w:hAnsi="宋体" w:cs="宋体"/>
          <w:b/>
          <w:sz w:val="32"/>
          <w:szCs w:val="32"/>
        </w:rPr>
      </w:pPr>
      <w:r>
        <w:rPr>
          <w:rFonts w:hint="eastAsia" w:ascii="宋体" w:hAnsi="宋体" w:cs="宋体"/>
          <w:b/>
          <w:sz w:val="32"/>
          <w:szCs w:val="32"/>
        </w:rPr>
        <w:t>第一部分 投标邀请函</w:t>
      </w:r>
      <w:bookmarkEnd w:id="4"/>
    </w:p>
    <w:p>
      <w:pPr>
        <w:rPr>
          <w:rFonts w:ascii="宋体" w:hAnsi="宋体" w:cs="宋体"/>
          <w:kern w:val="0"/>
          <w:sz w:val="28"/>
          <w:szCs w:val="28"/>
        </w:rPr>
      </w:pPr>
      <w:r>
        <w:rPr>
          <w:rFonts w:hint="eastAsia" w:ascii="宋体" w:hAnsi="宋体" w:cs="宋体"/>
          <w:kern w:val="0"/>
          <w:sz w:val="28"/>
          <w:szCs w:val="28"/>
        </w:rPr>
        <w:t>各投标人:</w:t>
      </w:r>
    </w:p>
    <w:p>
      <w:pPr>
        <w:ind w:firstLine="560" w:firstLineChars="200"/>
        <w:rPr>
          <w:rFonts w:ascii="宋体" w:hAnsi="宋体" w:cs="宋体"/>
          <w:sz w:val="28"/>
          <w:szCs w:val="28"/>
        </w:rPr>
      </w:pPr>
      <w:r>
        <w:rPr>
          <w:rFonts w:hint="eastAsia" w:ascii="宋体" w:hAnsi="宋体" w:cs="宋体"/>
          <w:sz w:val="28"/>
          <w:szCs w:val="28"/>
        </w:rPr>
        <w:t>天津赛德生物制药有限公司</w:t>
      </w:r>
      <w:r>
        <w:rPr>
          <w:rFonts w:hint="eastAsia" w:ascii="宋体" w:hAnsi="宋体" w:cs="宋体"/>
          <w:sz w:val="28"/>
          <w:szCs w:val="28"/>
          <w:u w:val="single"/>
        </w:rPr>
        <w:t>对</w:t>
      </w:r>
      <w:r>
        <w:rPr>
          <w:rFonts w:hint="eastAsia" w:ascii="宋体" w:hAnsi="宋体" w:cs="宋体"/>
          <w:sz w:val="28"/>
          <w:szCs w:val="28"/>
          <w:highlight w:val="none"/>
          <w:u w:val="single"/>
        </w:rPr>
        <w:t>碘[12</w:t>
      </w:r>
      <w:r>
        <w:rPr>
          <w:rFonts w:hint="eastAsia" w:ascii="宋体" w:hAnsi="宋体" w:cs="宋体"/>
          <w:sz w:val="28"/>
          <w:szCs w:val="28"/>
          <w:u w:val="single"/>
        </w:rPr>
        <w:t>5I]密封籽源相关技术服务</w:t>
      </w:r>
      <w:r>
        <w:rPr>
          <w:rFonts w:hint="eastAsia" w:ascii="宋体" w:hAnsi="宋体" w:cs="宋体"/>
          <w:sz w:val="28"/>
          <w:szCs w:val="28"/>
        </w:rPr>
        <w:t>进行长期公开招标采购，</w:t>
      </w:r>
      <w:r>
        <w:rPr>
          <w:rFonts w:hint="eastAsia" w:ascii="宋体" w:hAnsi="宋体" w:cs="宋体"/>
          <w:sz w:val="28"/>
          <w:szCs w:val="28"/>
          <w:lang w:val="zh-CN"/>
        </w:rPr>
        <w:t>欢迎符合资格条件</w:t>
      </w:r>
      <w:r>
        <w:rPr>
          <w:rFonts w:hint="eastAsia" w:ascii="宋体" w:hAnsi="宋体" w:cs="宋体"/>
          <w:sz w:val="28"/>
          <w:szCs w:val="28"/>
        </w:rPr>
        <w:t>的投标人投标。</w:t>
      </w:r>
    </w:p>
    <w:p>
      <w:pPr>
        <w:autoSpaceDE w:val="0"/>
        <w:autoSpaceDN w:val="0"/>
        <w:ind w:firstLine="560" w:firstLineChars="200"/>
        <w:rPr>
          <w:rFonts w:ascii="宋体" w:hAnsi="宋体" w:cs="宋体"/>
          <w:sz w:val="28"/>
          <w:szCs w:val="28"/>
          <w:lang w:val="zh-CN"/>
        </w:rPr>
      </w:pPr>
      <w:r>
        <w:rPr>
          <w:rFonts w:hint="eastAsia" w:ascii="宋体" w:hAnsi="宋体" w:cs="宋体"/>
          <w:sz w:val="28"/>
          <w:szCs w:val="28"/>
        </w:rPr>
        <w:t>一</w:t>
      </w:r>
      <w:r>
        <w:rPr>
          <w:rFonts w:hint="eastAsia" w:ascii="宋体" w:hAnsi="宋体" w:cs="宋体"/>
          <w:sz w:val="28"/>
          <w:szCs w:val="28"/>
          <w:lang w:val="zh-CN"/>
        </w:rPr>
        <w:t>、采购项目内容及需求：</w:t>
      </w:r>
    </w:p>
    <w:p>
      <w:pPr>
        <w:autoSpaceDE w:val="0"/>
        <w:autoSpaceDN w:val="0"/>
        <w:ind w:firstLine="560" w:firstLineChars="200"/>
        <w:rPr>
          <w:rFonts w:ascii="宋体" w:hAnsi="宋体" w:cs="宋体"/>
          <w:sz w:val="28"/>
          <w:szCs w:val="28"/>
          <w:lang w:val="zh-CN"/>
        </w:rPr>
      </w:pPr>
      <w:r>
        <w:rPr>
          <w:rFonts w:hint="eastAsia" w:ascii="宋体" w:hAnsi="宋体" w:cs="宋体"/>
          <w:sz w:val="28"/>
          <w:szCs w:val="28"/>
          <w:lang w:val="zh-CN"/>
        </w:rPr>
        <w:t>1、项目标的</w:t>
      </w:r>
    </w:p>
    <w:tbl>
      <w:tblPr>
        <w:tblStyle w:val="6"/>
        <w:tblW w:w="5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2"/>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2" w:type="dxa"/>
            <w:vAlign w:val="center"/>
          </w:tcPr>
          <w:p>
            <w:pPr>
              <w:jc w:val="center"/>
              <w:rPr>
                <w:rFonts w:ascii="宋体" w:hAnsi="宋体" w:cs="宋体"/>
                <w:b/>
                <w:sz w:val="28"/>
                <w:szCs w:val="28"/>
                <w:highlight w:val="none"/>
              </w:rPr>
            </w:pPr>
            <w:r>
              <w:rPr>
                <w:rFonts w:hint="eastAsia" w:ascii="宋体" w:hAnsi="宋体" w:cs="宋体"/>
                <w:b/>
                <w:sz w:val="28"/>
                <w:szCs w:val="28"/>
                <w:highlight w:val="none"/>
              </w:rPr>
              <w:t>标的名称</w:t>
            </w:r>
          </w:p>
        </w:tc>
        <w:tc>
          <w:tcPr>
            <w:tcW w:w="1526" w:type="dxa"/>
            <w:vAlign w:val="center"/>
          </w:tcPr>
          <w:p>
            <w:pPr>
              <w:jc w:val="center"/>
              <w:rPr>
                <w:rFonts w:ascii="宋体" w:hAnsi="宋体" w:cs="宋体"/>
                <w:b/>
                <w:sz w:val="28"/>
                <w:szCs w:val="28"/>
                <w:highlight w:val="none"/>
              </w:rPr>
            </w:pPr>
            <w:r>
              <w:rPr>
                <w:rFonts w:hint="eastAsia" w:ascii="宋体" w:hAnsi="宋体" w:cs="宋体"/>
                <w:b/>
                <w:sz w:val="28"/>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62" w:type="dxa"/>
            <w:vAlign w:val="center"/>
          </w:tcPr>
          <w:p>
            <w:pPr>
              <w:jc w:val="center"/>
              <w:rPr>
                <w:rFonts w:ascii="宋体" w:hAnsi="宋体" w:cs="宋体"/>
                <w:sz w:val="28"/>
                <w:szCs w:val="28"/>
                <w:highlight w:val="none"/>
              </w:rPr>
            </w:pPr>
            <w:r>
              <w:rPr>
                <w:rFonts w:hint="eastAsia" w:ascii="宋体" w:hAnsi="宋体" w:cs="宋体"/>
                <w:sz w:val="28"/>
                <w:szCs w:val="28"/>
                <w:highlight w:val="none"/>
              </w:rPr>
              <w:t>碘[125I]密封籽源相关技术服务</w:t>
            </w:r>
          </w:p>
        </w:tc>
        <w:tc>
          <w:tcPr>
            <w:tcW w:w="1526" w:type="dxa"/>
            <w:vAlign w:val="center"/>
          </w:tcPr>
          <w:p>
            <w:pPr>
              <w:jc w:val="center"/>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双方商定</w:t>
            </w:r>
          </w:p>
        </w:tc>
      </w:tr>
    </w:tbl>
    <w:p>
      <w:pPr>
        <w:autoSpaceDE w:val="0"/>
        <w:autoSpaceDN w:val="0"/>
        <w:ind w:firstLine="562" w:firstLineChars="200"/>
        <w:rPr>
          <w:rFonts w:hint="eastAsia" w:ascii="宋体" w:hAnsi="宋体" w:cs="宋体"/>
          <w:b/>
          <w:sz w:val="28"/>
          <w:szCs w:val="28"/>
          <w:lang w:val="zh-CN"/>
        </w:rPr>
      </w:pPr>
    </w:p>
    <w:p>
      <w:pPr>
        <w:autoSpaceDE w:val="0"/>
        <w:autoSpaceDN w:val="0"/>
        <w:ind w:firstLine="562" w:firstLineChars="200"/>
        <w:rPr>
          <w:rFonts w:ascii="宋体" w:hAnsi="宋体" w:cs="宋体"/>
          <w:b/>
          <w:sz w:val="28"/>
          <w:szCs w:val="28"/>
          <w:lang w:val="zh-CN"/>
        </w:rPr>
      </w:pPr>
      <w:r>
        <w:rPr>
          <w:rFonts w:hint="eastAsia" w:ascii="宋体" w:hAnsi="宋体" w:cs="宋体"/>
          <w:b/>
          <w:sz w:val="28"/>
          <w:szCs w:val="28"/>
          <w:lang w:val="zh-CN"/>
        </w:rPr>
        <w:t>详细技术规范请参阅招标文件中的用户需求书。</w:t>
      </w:r>
    </w:p>
    <w:p>
      <w:pPr>
        <w:autoSpaceDE w:val="0"/>
        <w:autoSpaceDN w:val="0"/>
        <w:ind w:firstLine="560" w:firstLineChars="200"/>
        <w:rPr>
          <w:rFonts w:ascii="宋体" w:hAnsi="宋体" w:cs="宋体"/>
          <w:color w:val="auto"/>
          <w:sz w:val="28"/>
          <w:szCs w:val="28"/>
          <w:highlight w:val="none"/>
          <w:lang w:val="zh-CN"/>
        </w:rPr>
      </w:pPr>
      <w:r>
        <w:rPr>
          <w:rFonts w:hint="eastAsia" w:ascii="宋体" w:hAnsi="宋体" w:cs="宋体"/>
          <w:sz w:val="28"/>
          <w:szCs w:val="28"/>
          <w:lang w:val="zh-CN"/>
        </w:rPr>
        <w:t>2、</w:t>
      </w:r>
      <w:r>
        <w:rPr>
          <w:rFonts w:hint="eastAsia" w:ascii="宋体" w:hAnsi="宋体" w:cs="宋体"/>
          <w:color w:val="auto"/>
          <w:sz w:val="28"/>
          <w:szCs w:val="28"/>
          <w:highlight w:val="none"/>
          <w:lang w:val="zh-CN"/>
        </w:rPr>
        <w:t>供货期：自合同签订之日起</w:t>
      </w:r>
      <w:r>
        <w:rPr>
          <w:rFonts w:hint="eastAsia" w:ascii="宋体" w:hAnsi="宋体" w:cs="宋体"/>
          <w:color w:val="auto"/>
          <w:sz w:val="28"/>
          <w:szCs w:val="28"/>
          <w:highlight w:val="none"/>
          <w:lang w:val="en-US" w:eastAsia="zh-CN"/>
        </w:rPr>
        <w:t>一</w:t>
      </w:r>
      <w:r>
        <w:rPr>
          <w:rFonts w:hint="eastAsia" w:ascii="宋体" w:hAnsi="宋体" w:cs="宋体"/>
          <w:color w:val="auto"/>
          <w:sz w:val="28"/>
          <w:szCs w:val="28"/>
          <w:highlight w:val="none"/>
          <w:lang w:val="zh-CN"/>
        </w:rPr>
        <w:t>年。</w:t>
      </w:r>
    </w:p>
    <w:p>
      <w:pPr>
        <w:autoSpaceDE w:val="0"/>
        <w:autoSpaceDN w:val="0"/>
        <w:ind w:firstLine="560" w:firstLineChars="200"/>
        <w:rPr>
          <w:rFonts w:ascii="仿宋" w:hAnsi="仿宋" w:eastAsia="仿宋"/>
          <w:b/>
          <w:color w:val="auto"/>
          <w:sz w:val="28"/>
          <w:szCs w:val="28"/>
          <w:highlight w:val="none"/>
        </w:rPr>
      </w:pPr>
      <w:r>
        <w:rPr>
          <w:rFonts w:hint="eastAsia" w:ascii="宋体" w:hAnsi="宋体" w:cs="宋体"/>
          <w:color w:val="auto"/>
          <w:sz w:val="28"/>
          <w:szCs w:val="28"/>
          <w:highlight w:val="none"/>
          <w:lang w:val="zh-CN"/>
        </w:rPr>
        <w:t>3、交货时间</w:t>
      </w:r>
      <w:r>
        <w:rPr>
          <w:rFonts w:hint="eastAsia" w:ascii="宋体" w:hAnsi="宋体" w:cs="宋体"/>
          <w:color w:val="auto"/>
          <w:sz w:val="28"/>
          <w:szCs w:val="28"/>
          <w:highlight w:val="none"/>
        </w:rPr>
        <w:t>和地点</w:t>
      </w:r>
      <w:r>
        <w:rPr>
          <w:rFonts w:hint="eastAsia" w:ascii="宋体" w:hAnsi="宋体" w:cs="宋体"/>
          <w:color w:val="auto"/>
          <w:sz w:val="28"/>
          <w:szCs w:val="28"/>
          <w:highlight w:val="none"/>
          <w:lang w:val="zh-CN"/>
        </w:rPr>
        <w:t>：</w:t>
      </w:r>
      <w:r>
        <w:rPr>
          <w:rFonts w:hint="eastAsia" w:ascii="宋体" w:hAnsi="宋体" w:cs="宋体"/>
          <w:color w:val="auto"/>
          <w:sz w:val="28"/>
          <w:szCs w:val="28"/>
          <w:highlight w:val="none"/>
        </w:rPr>
        <w:t>在24小时内响应采购人用户的要求进行技术服务</w:t>
      </w:r>
      <w:r>
        <w:rPr>
          <w:rFonts w:hint="eastAsia" w:ascii="宋体" w:hAnsi="宋体" w:cs="宋体"/>
          <w:color w:val="auto"/>
          <w:sz w:val="28"/>
          <w:szCs w:val="28"/>
          <w:highlight w:val="none"/>
          <w:lang w:val="zh-CN"/>
        </w:rPr>
        <w:t>，</w:t>
      </w:r>
      <w:r>
        <w:rPr>
          <w:rFonts w:hint="eastAsia" w:ascii="宋体" w:hAnsi="宋体" w:cs="宋体"/>
          <w:color w:val="auto"/>
          <w:sz w:val="28"/>
          <w:szCs w:val="28"/>
          <w:highlight w:val="none"/>
        </w:rPr>
        <w:t>在采购人用户的场地或投标人场地进行</w:t>
      </w:r>
      <w:r>
        <w:rPr>
          <w:rFonts w:hint="eastAsia" w:ascii="宋体" w:hAnsi="宋体" w:cs="宋体"/>
          <w:color w:val="auto"/>
          <w:sz w:val="28"/>
          <w:szCs w:val="28"/>
          <w:highlight w:val="none"/>
          <w:lang w:val="zh-CN"/>
        </w:rPr>
        <w:t>。</w:t>
      </w:r>
      <w:bookmarkStart w:id="5" w:name="_Toc14712070"/>
    </w:p>
    <w:p>
      <w:pPr>
        <w:ind w:firstLine="560" w:firstLineChars="200"/>
        <w:rPr>
          <w:rFonts w:hint="eastAsia" w:ascii="宋体" w:hAnsi="宋体" w:cs="宋体"/>
          <w:sz w:val="28"/>
          <w:szCs w:val="28"/>
        </w:rPr>
      </w:pPr>
      <w:r>
        <w:rPr>
          <w:rFonts w:hint="eastAsia" w:ascii="宋体" w:hAnsi="宋体" w:cs="宋体"/>
          <w:sz w:val="28"/>
          <w:szCs w:val="28"/>
        </w:rPr>
        <w:t>二、</w:t>
      </w:r>
      <w:r>
        <w:rPr>
          <w:rFonts w:hint="eastAsia" w:ascii="宋体" w:hAnsi="宋体" w:cs="宋体"/>
          <w:sz w:val="28"/>
          <w:szCs w:val="28"/>
          <w:lang w:val="zh-CN"/>
        </w:rPr>
        <w:t>采购</w:t>
      </w:r>
      <w:r>
        <w:rPr>
          <w:rFonts w:hint="eastAsia" w:ascii="宋体" w:hAnsi="宋体" w:cs="宋体"/>
          <w:sz w:val="28"/>
          <w:szCs w:val="28"/>
        </w:rPr>
        <w:t>时效：符合资格的投标人可以随时投标，本招标需求长期有效。</w:t>
      </w:r>
    </w:p>
    <w:p>
      <w:pPr>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三、采购方联系方式：天津市静海开发新区聚海道，天津赛德生物制药有限公司，客服部，电话：022-68609166</w:t>
      </w:r>
    </w:p>
    <w:p>
      <w:pPr>
        <w:adjustRightInd w:val="0"/>
        <w:snapToGrid w:val="0"/>
        <w:rPr>
          <w:rFonts w:ascii="仿宋" w:hAnsi="仿宋" w:eastAsia="仿宋"/>
          <w:sz w:val="24"/>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center"/>
        <w:outlineLvl w:val="0"/>
        <w:rPr>
          <w:rFonts w:ascii="仿宋" w:hAnsi="仿宋" w:eastAsia="仿宋"/>
          <w:b/>
          <w:sz w:val="28"/>
          <w:szCs w:val="28"/>
        </w:rPr>
      </w:pPr>
    </w:p>
    <w:p>
      <w:pPr>
        <w:jc w:val="left"/>
        <w:outlineLvl w:val="0"/>
        <w:rPr>
          <w:rFonts w:ascii="宋体" w:hAnsi="宋体" w:cs="宋体"/>
          <w:b/>
          <w:color w:val="auto"/>
          <w:sz w:val="28"/>
          <w:szCs w:val="28"/>
        </w:rPr>
      </w:pPr>
      <w:r>
        <w:rPr>
          <w:rFonts w:hint="eastAsia" w:ascii="宋体" w:hAnsi="宋体" w:cs="宋体"/>
          <w:b/>
          <w:sz w:val="28"/>
          <w:szCs w:val="28"/>
        </w:rPr>
        <w:t>第二部分　</w:t>
      </w:r>
      <w:r>
        <w:rPr>
          <w:rFonts w:hint="eastAsia" w:ascii="宋体" w:hAnsi="宋体" w:cs="宋体"/>
          <w:b/>
          <w:color w:val="auto"/>
          <w:sz w:val="28"/>
          <w:szCs w:val="28"/>
        </w:rPr>
        <w:t>采购项目内容</w:t>
      </w:r>
      <w:bookmarkEnd w:id="5"/>
    </w:p>
    <w:p>
      <w:pPr>
        <w:ind w:firstLine="562" w:firstLineChars="200"/>
        <w:outlineLvl w:val="3"/>
        <w:rPr>
          <w:rFonts w:ascii="宋体" w:hAnsi="宋体" w:cs="宋体"/>
          <w:b/>
          <w:color w:val="auto"/>
          <w:sz w:val="28"/>
          <w:szCs w:val="28"/>
        </w:rPr>
      </w:pPr>
      <w:r>
        <w:rPr>
          <w:rFonts w:hint="eastAsia" w:ascii="宋体" w:hAnsi="宋体" w:cs="宋体"/>
          <w:b/>
          <w:color w:val="auto"/>
          <w:sz w:val="28"/>
          <w:szCs w:val="28"/>
        </w:rPr>
        <w:t>一、项目内容和标准</w:t>
      </w:r>
    </w:p>
    <w:tbl>
      <w:tblPr>
        <w:tblStyle w:val="7"/>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5798"/>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jc w:val="center"/>
              <w:rPr>
                <w:b/>
                <w:sz w:val="24"/>
              </w:rPr>
            </w:pPr>
            <w:r>
              <w:rPr>
                <w:rFonts w:hint="eastAsia"/>
                <w:b/>
                <w:sz w:val="24"/>
              </w:rPr>
              <w:t>技术服务项目</w:t>
            </w:r>
          </w:p>
        </w:tc>
        <w:tc>
          <w:tcPr>
            <w:tcW w:w="5798" w:type="dxa"/>
          </w:tcPr>
          <w:p>
            <w:pPr>
              <w:jc w:val="center"/>
              <w:rPr>
                <w:b/>
                <w:sz w:val="24"/>
              </w:rPr>
            </w:pPr>
            <w:r>
              <w:rPr>
                <w:b/>
                <w:sz w:val="24"/>
              </w:rPr>
              <w:t>技术服务质量标准和服务内容</w:t>
            </w:r>
          </w:p>
        </w:tc>
        <w:tc>
          <w:tcPr>
            <w:tcW w:w="1226" w:type="dxa"/>
          </w:tcPr>
          <w:p>
            <w:pPr>
              <w:rPr>
                <w:b/>
                <w:sz w:val="24"/>
              </w:rPr>
            </w:pPr>
            <w:r>
              <w:rPr>
                <w:b/>
                <w:sz w:val="24"/>
              </w:rPr>
              <w:t>需配备的设备器械用品等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1、预计划的模拟拟定</w:t>
            </w:r>
          </w:p>
          <w:p>
            <w:pPr>
              <w:ind w:firstLine="240" w:firstLineChars="100"/>
              <w:rPr>
                <w:sz w:val="24"/>
              </w:rPr>
            </w:pPr>
          </w:p>
          <w:p>
            <w:pPr>
              <w:ind w:firstLine="240" w:firstLineChars="100"/>
              <w:rPr>
                <w:sz w:val="24"/>
              </w:rPr>
            </w:pPr>
            <w:r>
              <w:rPr>
                <w:rFonts w:hint="eastAsia"/>
                <w:sz w:val="24"/>
              </w:rPr>
              <w:t>拆分项如下：</w:t>
            </w:r>
          </w:p>
          <w:p>
            <w:pPr>
              <w:rPr>
                <w:sz w:val="24"/>
              </w:rPr>
            </w:pPr>
            <w:r>
              <w:rPr>
                <w:rFonts w:hint="eastAsia"/>
                <w:sz w:val="24"/>
              </w:rPr>
              <w:t>1、模拟图像的处理和构建</w:t>
            </w:r>
          </w:p>
          <w:p>
            <w:pPr>
              <w:rPr>
                <w:sz w:val="24"/>
              </w:rPr>
            </w:pPr>
            <w:r>
              <w:rPr>
                <w:rFonts w:hint="eastAsia"/>
                <w:sz w:val="24"/>
              </w:rPr>
              <w:t>2、模拟图像的数据分析和检验</w:t>
            </w:r>
          </w:p>
          <w:p>
            <w:pPr>
              <w:rPr>
                <w:sz w:val="24"/>
              </w:rPr>
            </w:pPr>
            <w:r>
              <w:rPr>
                <w:rFonts w:hint="eastAsia"/>
                <w:sz w:val="24"/>
              </w:rPr>
              <w:t>3、产品空间分布的模拟计算和设计</w:t>
            </w:r>
          </w:p>
          <w:p>
            <w:pPr>
              <w:rPr>
                <w:sz w:val="24"/>
              </w:rPr>
            </w:pPr>
            <w:r>
              <w:rPr>
                <w:rFonts w:hint="eastAsia"/>
                <w:sz w:val="24"/>
              </w:rPr>
              <w:t>4、产品剂量曲线的模拟计算和检验</w:t>
            </w:r>
          </w:p>
          <w:p>
            <w:pPr>
              <w:rPr>
                <w:sz w:val="24"/>
              </w:rPr>
            </w:pPr>
            <w:r>
              <w:rPr>
                <w:rFonts w:hint="eastAsia"/>
                <w:sz w:val="24"/>
              </w:rPr>
              <w:t>5、产品空间剂量分布的模拟计算和检验</w:t>
            </w:r>
          </w:p>
          <w:p>
            <w:pPr>
              <w:rPr>
                <w:sz w:val="24"/>
              </w:rPr>
            </w:pPr>
            <w:r>
              <w:rPr>
                <w:rFonts w:hint="eastAsia"/>
                <w:sz w:val="24"/>
              </w:rPr>
              <w:t>6、模板定位</w:t>
            </w:r>
          </w:p>
          <w:p>
            <w:pPr>
              <w:rPr>
                <w:sz w:val="24"/>
              </w:rPr>
            </w:pPr>
            <w:r>
              <w:rPr>
                <w:rFonts w:hint="eastAsia"/>
                <w:sz w:val="24"/>
              </w:rPr>
              <w:t>7、产品植入路径的模拟设计和产品核定</w:t>
            </w:r>
          </w:p>
        </w:tc>
        <w:tc>
          <w:tcPr>
            <w:tcW w:w="5798" w:type="dxa"/>
          </w:tcPr>
          <w:p>
            <w:pPr>
              <w:rPr>
                <w:b/>
                <w:sz w:val="24"/>
              </w:rPr>
            </w:pPr>
            <w:r>
              <w:rPr>
                <w:rFonts w:hint="eastAsia"/>
                <w:b/>
                <w:sz w:val="24"/>
              </w:rPr>
              <w:t>技术服务内容：</w:t>
            </w:r>
          </w:p>
          <w:p>
            <w:pPr>
              <w:rPr>
                <w:sz w:val="24"/>
              </w:rPr>
            </w:pPr>
            <w:r>
              <w:rPr>
                <w:rFonts w:hint="eastAsia"/>
                <w:sz w:val="24"/>
              </w:rPr>
              <w:t>模拟预计划的拟定用于治疗方案的模拟设计和制定模拟治疗剂量。</w:t>
            </w:r>
          </w:p>
          <w:p>
            <w:pPr>
              <w:rPr>
                <w:sz w:val="24"/>
              </w:rPr>
            </w:pPr>
            <w:r>
              <w:rPr>
                <w:rFonts w:hint="eastAsia"/>
                <w:sz w:val="24"/>
              </w:rPr>
              <w:t>将层厚0.5cm的DICOM格式图像拷贝至治疗计划系统（TPS设备）内，进行同一断层图像序列的重新分层重建、不同断层图像序列间的交互重建和剖切；对图像的灰度、直线距离、角度和面积进行测量；通过图像数据处理进行体表、靶区和重要器官等多目标的三维重建；通过图像数据分析检验原始图像与三维图像序列间的交叉与融合度；对靶区和重要器官等体积进行计算；进行断层图片靶区的勾画，计算和设计层内层间点位产品空间分布；检测产品空间等剂量曲线；绘制靶区体积和剂量直方图；交互设计和检验模版体表安放参考点，计算和定位模板体表安放位置。通过数据分析，模拟设计产品三维立体植入路径，计算核定所需产品的总活度、每颗活度和数量、植入针的数量以及器械的配备。</w:t>
            </w:r>
          </w:p>
          <w:p>
            <w:pPr>
              <w:rPr>
                <w:b/>
                <w:sz w:val="24"/>
              </w:rPr>
            </w:pPr>
            <w:r>
              <w:rPr>
                <w:rFonts w:hint="eastAsia"/>
                <w:b/>
                <w:sz w:val="24"/>
              </w:rPr>
              <w:t>技术服务质量标准：</w:t>
            </w:r>
          </w:p>
          <w:p>
            <w:pPr>
              <w:rPr>
                <w:sz w:val="24"/>
              </w:rPr>
            </w:pPr>
            <w:r>
              <w:rPr>
                <w:sz w:val="24"/>
              </w:rPr>
              <w:t>精确模拟计算靶区体积内的剂量分布</w:t>
            </w:r>
            <w:r>
              <w:rPr>
                <w:rFonts w:hint="eastAsia"/>
                <w:sz w:val="24"/>
              </w:rPr>
              <w:t>；精确模拟</w:t>
            </w:r>
            <w:r>
              <w:rPr>
                <w:sz w:val="24"/>
              </w:rPr>
              <w:t>计算产品总活度</w:t>
            </w:r>
            <w:r>
              <w:rPr>
                <w:rFonts w:hint="eastAsia"/>
                <w:sz w:val="24"/>
              </w:rPr>
              <w:t>、</w:t>
            </w:r>
            <w:r>
              <w:rPr>
                <w:sz w:val="24"/>
              </w:rPr>
              <w:t>单颗产品活度</w:t>
            </w:r>
            <w:r>
              <w:rPr>
                <w:rFonts w:hint="eastAsia"/>
                <w:sz w:val="24"/>
              </w:rPr>
              <w:t>和数量、植入针的数量；精确模拟设计植入路径和体表模板定位参考点。</w:t>
            </w:r>
          </w:p>
        </w:tc>
        <w:tc>
          <w:tcPr>
            <w:tcW w:w="1226" w:type="dxa"/>
          </w:tcPr>
          <w:p>
            <w:pPr>
              <w:rPr>
                <w:sz w:val="24"/>
              </w:rPr>
            </w:pPr>
            <w:r>
              <w:rPr>
                <w:rFonts w:hint="eastAsia"/>
                <w:sz w:val="24"/>
              </w:rPr>
              <w:t>配备治疗计划系统设备（TPS设备）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2、实时计划的模拟制定</w:t>
            </w:r>
          </w:p>
        </w:tc>
        <w:tc>
          <w:tcPr>
            <w:tcW w:w="5798" w:type="dxa"/>
          </w:tcPr>
          <w:p>
            <w:pPr>
              <w:rPr>
                <w:b/>
                <w:sz w:val="24"/>
              </w:rPr>
            </w:pPr>
            <w:r>
              <w:rPr>
                <w:rFonts w:hint="eastAsia"/>
                <w:b/>
                <w:sz w:val="24"/>
              </w:rPr>
              <w:t>技术服务内容：</w:t>
            </w:r>
          </w:p>
          <w:p>
            <w:pPr>
              <w:rPr>
                <w:sz w:val="24"/>
              </w:rPr>
            </w:pPr>
            <w:r>
              <w:rPr>
                <w:rFonts w:hint="eastAsia"/>
                <w:sz w:val="24"/>
              </w:rPr>
              <w:t>通过实时获得的影像图像现场模拟制定计划；进行图像的实时采集，三维立体还原体表、靶区和重要器官等多目标整合图像，并与模拟预计划图像进行图像拟合；交互式模拟计算植入针的穿刺路径和产品的空间分布；调整产品排布位置，纠正剂量不均匀度，实时计算和优化剂量分布；修正植入路径，指示进针角度和进针深度。</w:t>
            </w:r>
          </w:p>
          <w:p>
            <w:pPr>
              <w:rPr>
                <w:b/>
                <w:sz w:val="24"/>
              </w:rPr>
            </w:pPr>
            <w:r>
              <w:rPr>
                <w:rFonts w:hint="eastAsia"/>
                <w:b/>
                <w:sz w:val="24"/>
              </w:rPr>
              <w:t>技术服务质量标准：</w:t>
            </w:r>
          </w:p>
          <w:p>
            <w:pPr>
              <w:rPr>
                <w:sz w:val="24"/>
              </w:rPr>
            </w:pPr>
            <w:r>
              <w:rPr>
                <w:rFonts w:hint="eastAsia"/>
                <w:sz w:val="24"/>
              </w:rPr>
              <w:t>模拟的靶区体积和剂量适形度精准；产品在靶区体积内模拟分布精准。</w:t>
            </w:r>
          </w:p>
        </w:tc>
        <w:tc>
          <w:tcPr>
            <w:tcW w:w="1226" w:type="dxa"/>
          </w:tcPr>
          <w:p>
            <w:pPr>
              <w:rPr>
                <w:sz w:val="24"/>
              </w:rPr>
            </w:pPr>
            <w:r>
              <w:rPr>
                <w:rFonts w:hint="eastAsia"/>
                <w:sz w:val="24"/>
              </w:rPr>
              <w:t>配备治疗计划系统设备（TPS设备）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3、计划的模拟验证</w:t>
            </w:r>
          </w:p>
        </w:tc>
        <w:tc>
          <w:tcPr>
            <w:tcW w:w="5798" w:type="dxa"/>
          </w:tcPr>
          <w:p>
            <w:pPr>
              <w:rPr>
                <w:b/>
                <w:sz w:val="24"/>
              </w:rPr>
            </w:pPr>
            <w:r>
              <w:rPr>
                <w:rFonts w:hint="eastAsia"/>
                <w:b/>
                <w:sz w:val="24"/>
              </w:rPr>
              <w:t>技术服务内容：</w:t>
            </w:r>
          </w:p>
          <w:p>
            <w:pPr>
              <w:rPr>
                <w:sz w:val="24"/>
              </w:rPr>
            </w:pPr>
            <w:r>
              <w:rPr>
                <w:rFonts w:hint="eastAsia"/>
                <w:sz w:val="24"/>
              </w:rPr>
              <w:t>将已植入产品的层厚0.5cmDICOM格式图像拷贝至治疗计划系统内；将靶区的图像三维立体还原，检验产品的空间位置和空间分布，核对植入产品的数量，核算产品当前活度，计算产品的靶区剂量和剂量分布，绘制靶区体积的等剂量曲线，模拟验证和模拟评估剂量适形度，统计和分析靶区体积的剂量。</w:t>
            </w:r>
          </w:p>
          <w:p>
            <w:pPr>
              <w:rPr>
                <w:b/>
                <w:sz w:val="24"/>
              </w:rPr>
            </w:pPr>
            <w:r>
              <w:rPr>
                <w:rFonts w:hint="eastAsia"/>
                <w:b/>
                <w:sz w:val="24"/>
              </w:rPr>
              <w:t>技术服务质量标准：</w:t>
            </w:r>
          </w:p>
          <w:p>
            <w:pPr>
              <w:rPr>
                <w:sz w:val="24"/>
              </w:rPr>
            </w:pPr>
            <w:r>
              <w:rPr>
                <w:sz w:val="24"/>
              </w:rPr>
              <w:t>模拟验证的靶区体积剂量</w:t>
            </w:r>
            <w:r>
              <w:rPr>
                <w:rFonts w:hint="eastAsia"/>
                <w:sz w:val="24"/>
              </w:rPr>
              <w:t>精准。</w:t>
            </w:r>
          </w:p>
        </w:tc>
        <w:tc>
          <w:tcPr>
            <w:tcW w:w="1226" w:type="dxa"/>
          </w:tcPr>
          <w:p>
            <w:pPr>
              <w:rPr>
                <w:sz w:val="24"/>
              </w:rPr>
            </w:pPr>
            <w:r>
              <w:rPr>
                <w:rFonts w:hint="eastAsia"/>
                <w:sz w:val="24"/>
              </w:rPr>
              <w:t>配备治疗计划系统设备（TPS设备）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4、模拟计划数据的统计和编辑</w:t>
            </w:r>
          </w:p>
        </w:tc>
        <w:tc>
          <w:tcPr>
            <w:tcW w:w="5798" w:type="dxa"/>
          </w:tcPr>
          <w:p>
            <w:pPr>
              <w:rPr>
                <w:b/>
                <w:sz w:val="24"/>
              </w:rPr>
            </w:pPr>
            <w:r>
              <w:rPr>
                <w:rFonts w:hint="eastAsia"/>
                <w:b/>
                <w:sz w:val="24"/>
              </w:rPr>
              <w:t>技术服务内容：</w:t>
            </w:r>
          </w:p>
          <w:p>
            <w:pPr>
              <w:rPr>
                <w:sz w:val="24"/>
              </w:rPr>
            </w:pPr>
            <w:r>
              <w:rPr>
                <w:rFonts w:hint="eastAsia"/>
                <w:sz w:val="24"/>
              </w:rPr>
              <w:t>将模拟计划中的图像序列、图像勾画、各项参数数据、产品的空间分布、剂量空间分布进行统计和编辑。</w:t>
            </w:r>
          </w:p>
          <w:p>
            <w:pPr>
              <w:rPr>
                <w:b/>
                <w:sz w:val="24"/>
              </w:rPr>
            </w:pPr>
            <w:r>
              <w:rPr>
                <w:rFonts w:hint="eastAsia"/>
                <w:b/>
                <w:sz w:val="24"/>
              </w:rPr>
              <w:t>技术服务质量标准：</w:t>
            </w:r>
          </w:p>
          <w:p>
            <w:pPr>
              <w:rPr>
                <w:sz w:val="24"/>
              </w:rPr>
            </w:pPr>
            <w:r>
              <w:rPr>
                <w:rFonts w:hint="eastAsia"/>
                <w:sz w:val="24"/>
              </w:rPr>
              <w:t>统计和编辑的各项参数和数据精准。</w:t>
            </w:r>
          </w:p>
        </w:tc>
        <w:tc>
          <w:tcPr>
            <w:tcW w:w="1226" w:type="dxa"/>
          </w:tcPr>
          <w:p>
            <w:pPr>
              <w:rPr>
                <w:sz w:val="24"/>
              </w:rPr>
            </w:pPr>
            <w:r>
              <w:rPr>
                <w:rFonts w:hint="eastAsia"/>
                <w:sz w:val="24"/>
              </w:rPr>
              <w:t>配备治疗计划系统设备（TPS设备）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5、植入导航和监控</w:t>
            </w:r>
          </w:p>
        </w:tc>
        <w:tc>
          <w:tcPr>
            <w:tcW w:w="5798" w:type="dxa"/>
          </w:tcPr>
          <w:p>
            <w:pPr>
              <w:rPr>
                <w:sz w:val="24"/>
              </w:rPr>
            </w:pPr>
            <w:r>
              <w:rPr>
                <w:rFonts w:hint="eastAsia"/>
                <w:sz w:val="24"/>
              </w:rPr>
              <w:t>通过超声导航实时监控模板的定位、产品的植入路径、植入位置；显示图像动态信息和产品位点信息；实时将模板位置数据、图像数据、产品位点数据传输至治疗计划系统，监控产品的整个植入过程。</w:t>
            </w:r>
          </w:p>
          <w:p>
            <w:pPr>
              <w:rPr>
                <w:b/>
                <w:sz w:val="24"/>
              </w:rPr>
            </w:pPr>
            <w:r>
              <w:rPr>
                <w:rFonts w:hint="eastAsia"/>
                <w:b/>
                <w:sz w:val="24"/>
              </w:rPr>
              <w:t>技术服务质量标准：</w:t>
            </w:r>
          </w:p>
          <w:p>
            <w:pPr>
              <w:rPr>
                <w:sz w:val="24"/>
              </w:rPr>
            </w:pPr>
            <w:r>
              <w:rPr>
                <w:rFonts w:hint="eastAsia"/>
                <w:sz w:val="24"/>
              </w:rPr>
              <w:t>产品的定位植入精准。</w:t>
            </w:r>
          </w:p>
        </w:tc>
        <w:tc>
          <w:tcPr>
            <w:tcW w:w="1226" w:type="dxa"/>
          </w:tcPr>
          <w:p>
            <w:pPr>
              <w:rPr>
                <w:sz w:val="24"/>
              </w:rPr>
            </w:pPr>
            <w:r>
              <w:rPr>
                <w:rFonts w:hint="eastAsia"/>
                <w:sz w:val="24"/>
              </w:rPr>
              <w:t>配备便携式内置治疗计划系统的超声仪和超声探头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6、模板的打印</w:t>
            </w:r>
          </w:p>
          <w:p>
            <w:pPr>
              <w:ind w:firstLine="240" w:firstLineChars="100"/>
              <w:rPr>
                <w:sz w:val="24"/>
              </w:rPr>
            </w:pPr>
          </w:p>
          <w:p>
            <w:pPr>
              <w:ind w:firstLine="240" w:firstLineChars="100"/>
              <w:rPr>
                <w:sz w:val="24"/>
              </w:rPr>
            </w:pPr>
            <w:r>
              <w:rPr>
                <w:rFonts w:hint="eastAsia"/>
                <w:sz w:val="24"/>
              </w:rPr>
              <w:t>拆分项如下：</w:t>
            </w:r>
          </w:p>
          <w:p>
            <w:pPr>
              <w:rPr>
                <w:sz w:val="24"/>
              </w:rPr>
            </w:pPr>
            <w:r>
              <w:rPr>
                <w:rFonts w:hint="eastAsia"/>
                <w:sz w:val="24"/>
              </w:rPr>
              <w:t>1、模板打印的数据计算和程序设计</w:t>
            </w:r>
          </w:p>
          <w:p>
            <w:pPr>
              <w:rPr>
                <w:sz w:val="24"/>
              </w:rPr>
            </w:pPr>
            <w:r>
              <w:rPr>
                <w:rFonts w:hint="eastAsia"/>
                <w:sz w:val="24"/>
              </w:rPr>
              <w:t>2、平面模板的打印</w:t>
            </w:r>
          </w:p>
          <w:p>
            <w:pPr>
              <w:rPr>
                <w:sz w:val="24"/>
              </w:rPr>
            </w:pPr>
            <w:r>
              <w:rPr>
                <w:rFonts w:hint="eastAsia"/>
                <w:sz w:val="24"/>
              </w:rPr>
              <w:t>3、3D模板的打印</w:t>
            </w:r>
          </w:p>
        </w:tc>
        <w:tc>
          <w:tcPr>
            <w:tcW w:w="5798" w:type="dxa"/>
          </w:tcPr>
          <w:p>
            <w:pPr>
              <w:rPr>
                <w:sz w:val="24"/>
              </w:rPr>
            </w:pPr>
            <w:r>
              <w:rPr>
                <w:rFonts w:hint="eastAsia"/>
                <w:sz w:val="24"/>
              </w:rPr>
              <w:t>将模拟预计划中的体表、靶区、重要器官等的三维图像、植入路径、产品空间分布进行数据分析和计算；导出模板体表定位数据、模板中的位点数据和孔径方向数据及孔径位点标记数据；按照数据信息编程，将数据程序指令传输至3D打印机，使用树脂等材料打印模板；在模板上标记植入位点线和孔径符号，完成模板打印。</w:t>
            </w:r>
          </w:p>
          <w:p>
            <w:pPr>
              <w:rPr>
                <w:b/>
                <w:sz w:val="24"/>
              </w:rPr>
            </w:pPr>
            <w:r>
              <w:rPr>
                <w:rFonts w:hint="eastAsia"/>
                <w:b/>
                <w:sz w:val="24"/>
              </w:rPr>
              <w:t>技术服务质量标准：</w:t>
            </w:r>
          </w:p>
          <w:p>
            <w:pPr>
              <w:rPr>
                <w:sz w:val="24"/>
              </w:rPr>
            </w:pPr>
            <w:r>
              <w:rPr>
                <w:rFonts w:hint="eastAsia"/>
                <w:sz w:val="24"/>
              </w:rPr>
              <w:t>模板</w:t>
            </w:r>
            <w:r>
              <w:rPr>
                <w:sz w:val="24"/>
              </w:rPr>
              <w:t>实物数据与治疗计划相关产品</w:t>
            </w:r>
            <w:r>
              <w:rPr>
                <w:rFonts w:hint="eastAsia"/>
                <w:sz w:val="24"/>
              </w:rPr>
              <w:t>定位</w:t>
            </w:r>
            <w:r>
              <w:rPr>
                <w:sz w:val="24"/>
              </w:rPr>
              <w:t>参数精确吻合</w:t>
            </w:r>
            <w:r>
              <w:rPr>
                <w:rFonts w:hint="eastAsia"/>
                <w:sz w:val="24"/>
              </w:rPr>
              <w:t>。</w:t>
            </w:r>
          </w:p>
        </w:tc>
        <w:tc>
          <w:tcPr>
            <w:tcW w:w="1226" w:type="dxa"/>
          </w:tcPr>
          <w:p>
            <w:pPr>
              <w:rPr>
                <w:sz w:val="24"/>
              </w:rPr>
            </w:pPr>
            <w:r>
              <w:rPr>
                <w:rFonts w:hint="eastAsia"/>
                <w:sz w:val="24"/>
              </w:rPr>
              <w:t>配备治疗计划系统和3D打印机以及模板材料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9" w:type="dxa"/>
            <w:gridSpan w:val="3"/>
          </w:tcPr>
          <w:p>
            <w:pPr>
              <w:ind w:firstLine="1205" w:firstLineChars="500"/>
              <w:rPr>
                <w:b/>
                <w:sz w:val="24"/>
              </w:rPr>
            </w:pPr>
            <w:r>
              <w:rPr>
                <w:rFonts w:hint="eastAsia"/>
                <w:b/>
                <w:sz w:val="24"/>
              </w:rPr>
              <w:t>二、产品的装载、核对、检测、消毒、回收、清洗、防护等类别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7、产品的核对和检测</w:t>
            </w:r>
          </w:p>
          <w:p>
            <w:pPr>
              <w:rPr>
                <w:sz w:val="24"/>
              </w:rPr>
            </w:pPr>
          </w:p>
          <w:p>
            <w:pPr>
              <w:rPr>
                <w:sz w:val="24"/>
              </w:rPr>
            </w:pPr>
            <w:r>
              <w:rPr>
                <w:rFonts w:hint="eastAsia"/>
                <w:sz w:val="24"/>
              </w:rPr>
              <w:t>拆分项如下：</w:t>
            </w:r>
          </w:p>
          <w:p>
            <w:pPr>
              <w:rPr>
                <w:sz w:val="24"/>
              </w:rPr>
            </w:pPr>
          </w:p>
          <w:p>
            <w:pPr>
              <w:rPr>
                <w:sz w:val="24"/>
              </w:rPr>
            </w:pPr>
            <w:r>
              <w:rPr>
                <w:rFonts w:hint="eastAsia"/>
                <w:sz w:val="24"/>
              </w:rPr>
              <w:t>1、产品的核对</w:t>
            </w:r>
          </w:p>
          <w:p>
            <w:pPr>
              <w:rPr>
                <w:sz w:val="24"/>
              </w:rPr>
            </w:pPr>
          </w:p>
          <w:p>
            <w:pPr>
              <w:rPr>
                <w:sz w:val="24"/>
              </w:rPr>
            </w:pPr>
          </w:p>
          <w:p>
            <w:pPr>
              <w:rPr>
                <w:sz w:val="24"/>
              </w:rPr>
            </w:pPr>
            <w:r>
              <w:rPr>
                <w:rFonts w:hint="eastAsia"/>
                <w:sz w:val="24"/>
              </w:rPr>
              <w:t>2、产品的检测</w:t>
            </w:r>
          </w:p>
        </w:tc>
        <w:tc>
          <w:tcPr>
            <w:tcW w:w="5798" w:type="dxa"/>
          </w:tcPr>
          <w:p>
            <w:pPr>
              <w:rPr>
                <w:sz w:val="24"/>
              </w:rPr>
            </w:pPr>
            <w:r>
              <w:rPr>
                <w:rFonts w:hint="eastAsia"/>
                <w:sz w:val="24"/>
              </w:rPr>
              <w:t>用户收到产品后服务商应及时协助用户逐粒清点产品数量，产品数量如有出入及时告知公司；在放射性工作场所清点产品，穿戴防护衣、防护眼镜、防护手套，并在防护箱内操作，配备射线监测仪。打开产品包装把铅罐取出放入铅玻璃防护箱，把产品从玻璃瓶内倒入不锈钢托盘内清点，清点后用镊子轻夹产品放回玻璃瓶内密封，把玻璃瓶置入铅罐内；清点产品时轻夹产品，避免把产品夹扁导致产品破损；操作完成后用监测仪巡测操作场所，防范产品丢失，造成环境污染。</w:t>
            </w:r>
          </w:p>
          <w:p>
            <w:pPr>
              <w:rPr>
                <w:sz w:val="24"/>
              </w:rPr>
            </w:pPr>
            <w:r>
              <w:rPr>
                <w:rFonts w:hint="eastAsia"/>
                <w:sz w:val="24"/>
              </w:rPr>
              <w:t>因产品随时间而衰变，使用时协助用户检测产品活度，检测产品所用活度计定期由计量部门进行刻度，检测时再用产品标准源校对活度计；检测产品时把放置产品的塑料离心管对准在电离室探头中央位置处，且保持放置位置的一致性；用刻度系数核算产品活度，用衰变系数核算标定活度；整个检测过程穿戴防护衣、防护眼镜、防护手套，并在防护箱内操作；检测时轻拿轻放产品；检测后用监测仪巡测操作场所。</w:t>
            </w:r>
          </w:p>
          <w:p>
            <w:pPr>
              <w:rPr>
                <w:b/>
                <w:sz w:val="24"/>
              </w:rPr>
            </w:pPr>
            <w:r>
              <w:rPr>
                <w:rFonts w:hint="eastAsia"/>
                <w:b/>
                <w:sz w:val="24"/>
              </w:rPr>
              <w:t>技术服务质量标准：</w:t>
            </w:r>
          </w:p>
          <w:p>
            <w:pPr>
              <w:rPr>
                <w:sz w:val="24"/>
              </w:rPr>
            </w:pPr>
            <w:r>
              <w:rPr>
                <w:rFonts w:hint="eastAsia"/>
                <w:sz w:val="24"/>
              </w:rPr>
              <w:t>产品的清点规范准确、产品外观完好无损、产品的活度检测规范准确。</w:t>
            </w:r>
          </w:p>
        </w:tc>
        <w:tc>
          <w:tcPr>
            <w:tcW w:w="1226" w:type="dxa"/>
          </w:tcPr>
          <w:p>
            <w:pPr>
              <w:rPr>
                <w:sz w:val="24"/>
              </w:rPr>
            </w:pPr>
            <w:r>
              <w:rPr>
                <w:sz w:val="24"/>
              </w:rPr>
              <w:t>配备射线监测仪</w:t>
            </w:r>
            <w:r>
              <w:rPr>
                <w:rFonts w:hint="eastAsia"/>
                <w:sz w:val="24"/>
              </w:rPr>
              <w:t>、辐射防护用品、</w:t>
            </w:r>
            <w:r>
              <w:rPr>
                <w:sz w:val="24"/>
              </w:rPr>
              <w:t>活度计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8、产品的辅助装载和辅助消毒（弹仓装载、产品链装载、支架装载、引流管装载）</w:t>
            </w:r>
          </w:p>
          <w:p>
            <w:pPr>
              <w:rPr>
                <w:b/>
                <w:sz w:val="24"/>
              </w:rPr>
            </w:pPr>
          </w:p>
          <w:p>
            <w:pPr>
              <w:rPr>
                <w:sz w:val="24"/>
              </w:rPr>
            </w:pPr>
            <w:r>
              <w:rPr>
                <w:rFonts w:hint="eastAsia"/>
                <w:sz w:val="24"/>
              </w:rPr>
              <w:t>拆分项如下：</w:t>
            </w:r>
          </w:p>
          <w:p>
            <w:pPr>
              <w:rPr>
                <w:sz w:val="24"/>
              </w:rPr>
            </w:pPr>
          </w:p>
          <w:p>
            <w:pPr>
              <w:pStyle w:val="11"/>
              <w:numPr>
                <w:ilvl w:val="0"/>
                <w:numId w:val="1"/>
              </w:numPr>
              <w:ind w:firstLineChars="0"/>
              <w:rPr>
                <w:sz w:val="24"/>
              </w:rPr>
            </w:pPr>
            <w:r>
              <w:rPr>
                <w:rFonts w:hint="eastAsia"/>
                <w:sz w:val="24"/>
              </w:rPr>
              <w:t>产品的辅助装载</w:t>
            </w:r>
          </w:p>
          <w:p>
            <w:pPr>
              <w:rPr>
                <w:sz w:val="24"/>
              </w:rPr>
            </w:pPr>
          </w:p>
          <w:p>
            <w:pPr>
              <w:rPr>
                <w:sz w:val="24"/>
              </w:rPr>
            </w:pPr>
            <w:r>
              <w:rPr>
                <w:rFonts w:hint="eastAsia"/>
                <w:sz w:val="24"/>
              </w:rPr>
              <w:t>2、产品的辅助消毒</w:t>
            </w:r>
          </w:p>
        </w:tc>
        <w:tc>
          <w:tcPr>
            <w:tcW w:w="5798" w:type="dxa"/>
          </w:tcPr>
          <w:p>
            <w:pPr>
              <w:rPr>
                <w:sz w:val="24"/>
              </w:rPr>
            </w:pPr>
            <w:r>
              <w:rPr>
                <w:rFonts w:hint="eastAsia"/>
                <w:sz w:val="24"/>
              </w:rPr>
              <w:t>将产品装载到植入器的弹仓内、PLG套管内、镍钛记忆合金支架管壁内、引流管管壁内、黏贴至敷贴器上。不同的辅助装载方式配备专用装载装置；整个辅助装载过程穿戴防护衣、防护眼镜、防护手套，并在防护箱内操作；配备射线监测仪。因产品的管壁厚度只有0.05mm，在辅助装载时轻夹轻放，避免用力装载造成产品变形，导致产品泄漏失效；产品的最大规格尺寸只有0.8mm×4.5mm,为了防止产品丢失和防范射线照射，在密闭的防护箱内装载，装载产品时佩戴可放大5倍以上的放大镜。装载后核对产品数量，用射线监测仪检测装有产品的器具和巡测工作场所的辐射剂量水平，避免漏装错装。</w:t>
            </w:r>
          </w:p>
          <w:p>
            <w:pPr>
              <w:ind w:firstLine="480" w:firstLineChars="200"/>
              <w:rPr>
                <w:sz w:val="24"/>
              </w:rPr>
            </w:pPr>
            <w:r>
              <w:rPr>
                <w:rFonts w:hint="eastAsia"/>
                <w:sz w:val="24"/>
              </w:rPr>
              <w:t>按用户需求辅助装载，并记录产品装载数量和相关信息，产品装载前测试和检测产品装载装置。</w:t>
            </w:r>
          </w:p>
          <w:p>
            <w:pPr>
              <w:rPr>
                <w:sz w:val="24"/>
              </w:rPr>
            </w:pPr>
            <w:r>
              <w:rPr>
                <w:rFonts w:hint="eastAsia"/>
                <w:sz w:val="24"/>
              </w:rPr>
              <w:t>产品装入弹夹时把弹芯从弹夹中取出，把弹芯置于装载台卡槽中，用镊子轻夹产品依次平放装入弹芯中，每个弹夹最多装10颗产品，如多装产品或产品未能平放在弹芯中会导致产品损坏，装好产品后把弹芯拧入带有顶杆的保护套中；确保在植入产品时不卡顿。</w:t>
            </w:r>
          </w:p>
          <w:p>
            <w:pPr>
              <w:rPr>
                <w:sz w:val="24"/>
              </w:rPr>
            </w:pPr>
            <w:r>
              <w:rPr>
                <w:rFonts w:hint="eastAsia"/>
                <w:sz w:val="24"/>
              </w:rPr>
              <w:t>产品链装载时，把装有产品和间隔棒的弹夹插入装载装置中的滑动器卡槽内；把整根外径0.8mm的PLG套管放入装载平台的开槽内，盖上压板，套管前端用顶杆压封；滑动装载器用推杆依次将产品和间隔棒推入套管内，产品正确装入套管后，用推杆顶住套管内产品，松开平台前端顶丝，推送套管至前端压杆处，压封末端套管，切割掉未装产品的剩余套管，检查套管压封端是否密封，检查产品是否按用户需求装载；把产品链放入笔试植入器内，拧上相应标记的保护帽。确保产品链密封完好，产品链装载正确无误。</w:t>
            </w:r>
          </w:p>
          <w:p>
            <w:pPr>
              <w:rPr>
                <w:sz w:val="24"/>
              </w:rPr>
            </w:pPr>
            <w:r>
              <w:rPr>
                <w:rFonts w:hint="eastAsia"/>
                <w:sz w:val="24"/>
              </w:rPr>
              <w:t>支架和引流管装载产品时，先把支架和引流管固定在专用装载装置上，用装有产品的装载器顶在管壁开槽处，把产品推入槽内；装载产品完毕后，把支架和引流管放入防护器具内；确保产品装载位点正确无误，装载牢固不脱落，避免因放错位点而造成产品、支架、引流管报废。</w:t>
            </w:r>
          </w:p>
          <w:p>
            <w:pPr>
              <w:ind w:firstLine="480"/>
              <w:rPr>
                <w:sz w:val="24"/>
              </w:rPr>
            </w:pPr>
            <w:r>
              <w:rPr>
                <w:rFonts w:hint="eastAsia"/>
                <w:sz w:val="24"/>
              </w:rPr>
              <w:t>辅助用户消毒产品时穿戴防护衣、防护眼镜、防护手套，配备射线监测仪。配备便携式脉动高压蒸汽锅，采用压力蒸汽灭菌法消毒产品，压力102.9kPa（1.05kg/cm2），温度121~126℃，消毒20~30min；压力205.8kPa（2.1kg/cm2）、温度132~134℃，消毒4~10min。消毒压力不得超过241.08kPa（2.46Kg/cm2），温度不得超过138℃。消毒完毕后用射线监测仪检测消毒器具的表面辐射剂量水平。严格按照相应压力、温度、时间消毒产品。</w:t>
            </w:r>
          </w:p>
          <w:p>
            <w:pPr>
              <w:rPr>
                <w:b/>
                <w:sz w:val="24"/>
              </w:rPr>
            </w:pPr>
            <w:r>
              <w:rPr>
                <w:rFonts w:hint="eastAsia"/>
                <w:b/>
                <w:sz w:val="24"/>
              </w:rPr>
              <w:t>技术服务质量标准：</w:t>
            </w:r>
          </w:p>
          <w:p>
            <w:pPr>
              <w:rPr>
                <w:sz w:val="24"/>
              </w:rPr>
            </w:pPr>
            <w:r>
              <w:rPr>
                <w:rFonts w:hint="eastAsia"/>
                <w:sz w:val="24"/>
              </w:rPr>
              <w:t>产品的装载规范准确，器具中的产品推送流畅，避免装载不当造成产品损坏，避免消毒不当造成产品损坏。</w:t>
            </w:r>
          </w:p>
        </w:tc>
        <w:tc>
          <w:tcPr>
            <w:tcW w:w="1226" w:type="dxa"/>
          </w:tcPr>
          <w:p>
            <w:pPr>
              <w:rPr>
                <w:sz w:val="24"/>
              </w:rPr>
            </w:pPr>
            <w:r>
              <w:rPr>
                <w:sz w:val="24"/>
              </w:rPr>
              <w:t>配备辐射防护用品</w:t>
            </w:r>
            <w:r>
              <w:rPr>
                <w:rFonts w:hint="eastAsia"/>
                <w:sz w:val="24"/>
              </w:rPr>
              <w:t>、</w:t>
            </w:r>
            <w:r>
              <w:rPr>
                <w:sz w:val="24"/>
              </w:rPr>
              <w:t>装载器具</w:t>
            </w:r>
            <w:r>
              <w:rPr>
                <w:rFonts w:hint="eastAsia"/>
                <w:sz w:val="24"/>
              </w:rPr>
              <w:t>、</w:t>
            </w:r>
            <w:r>
              <w:rPr>
                <w:sz w:val="24"/>
              </w:rPr>
              <w:t>射线监测仪</w:t>
            </w:r>
            <w:r>
              <w:rPr>
                <w:rFonts w:hint="eastAsia"/>
                <w:sz w:val="24"/>
              </w:rPr>
              <w:t>、防护器具、</w:t>
            </w:r>
            <w:r>
              <w:rPr>
                <w:sz w:val="24"/>
              </w:rPr>
              <w:t>消毒器具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9、产品包装物的回收和检测</w:t>
            </w:r>
          </w:p>
        </w:tc>
        <w:tc>
          <w:tcPr>
            <w:tcW w:w="5798" w:type="dxa"/>
          </w:tcPr>
          <w:p>
            <w:pPr>
              <w:rPr>
                <w:sz w:val="24"/>
              </w:rPr>
            </w:pPr>
            <w:r>
              <w:rPr>
                <w:rFonts w:hint="eastAsia"/>
                <w:sz w:val="24"/>
              </w:rPr>
              <w:t>用户使用产品后收集产品的包装物，用表面沾污仪检测包装物，检测时扣减本底水平，检测三组数据取平均值，表面沾污仪的探头和被检物距离控制在3cm以内；表面污染和表面辐射水平为本底水平，包装物撕掉标签协助用户运回公司。</w:t>
            </w:r>
          </w:p>
          <w:p>
            <w:pPr>
              <w:rPr>
                <w:b/>
                <w:sz w:val="24"/>
              </w:rPr>
            </w:pPr>
            <w:r>
              <w:rPr>
                <w:rFonts w:hint="eastAsia"/>
                <w:b/>
                <w:sz w:val="24"/>
              </w:rPr>
              <w:t>技术服务质量标准：</w:t>
            </w:r>
          </w:p>
          <w:p>
            <w:pPr>
              <w:rPr>
                <w:sz w:val="24"/>
              </w:rPr>
            </w:pPr>
            <w:r>
              <w:rPr>
                <w:rFonts w:hint="eastAsia"/>
                <w:sz w:val="24"/>
              </w:rPr>
              <w:t>产品包装物的收集和检测规范准确。</w:t>
            </w:r>
          </w:p>
        </w:tc>
        <w:tc>
          <w:tcPr>
            <w:tcW w:w="1226" w:type="dxa"/>
          </w:tcPr>
          <w:p>
            <w:pPr>
              <w:rPr>
                <w:sz w:val="24"/>
              </w:rPr>
            </w:pPr>
            <w:r>
              <w:rPr>
                <w:sz w:val="24"/>
              </w:rPr>
              <w:t>配备表面沾污仪</w:t>
            </w:r>
            <w:r>
              <w:rPr>
                <w:rFonts w:hint="eastAsia"/>
                <w:sz w:val="24"/>
              </w:rPr>
              <w:t>、</w:t>
            </w:r>
            <w:r>
              <w:rPr>
                <w:sz w:val="24"/>
              </w:rPr>
              <w:t>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10、患者的防护和检测</w:t>
            </w:r>
          </w:p>
          <w:p>
            <w:pPr>
              <w:rPr>
                <w:sz w:val="24"/>
              </w:rPr>
            </w:pPr>
          </w:p>
          <w:p>
            <w:pPr>
              <w:rPr>
                <w:sz w:val="24"/>
              </w:rPr>
            </w:pPr>
          </w:p>
          <w:p>
            <w:pPr>
              <w:rPr>
                <w:sz w:val="24"/>
              </w:rPr>
            </w:pPr>
          </w:p>
          <w:p>
            <w:pPr>
              <w:rPr>
                <w:sz w:val="24"/>
              </w:rPr>
            </w:pPr>
          </w:p>
          <w:p>
            <w:pPr>
              <w:rPr>
                <w:sz w:val="24"/>
              </w:rPr>
            </w:pPr>
          </w:p>
        </w:tc>
        <w:tc>
          <w:tcPr>
            <w:tcW w:w="5798" w:type="dxa"/>
          </w:tcPr>
          <w:p>
            <w:pPr>
              <w:rPr>
                <w:rFonts w:ascii="宋体" w:hAnsi="宋体"/>
                <w:bCs/>
                <w:sz w:val="24"/>
              </w:rPr>
            </w:pPr>
            <w:r>
              <w:rPr>
                <w:rFonts w:hint="eastAsia"/>
                <w:sz w:val="24"/>
              </w:rPr>
              <w:t>植入产品的患者进行辐射剂量水平检测，检测时射线监测仪探头部位距离患者体表30cm处检测辐射剂量水平，辐射剂量水平大于本底水平的患者体表部位穿戴防护用品。</w:t>
            </w:r>
          </w:p>
          <w:p>
            <w:pPr>
              <w:rPr>
                <w:b/>
                <w:sz w:val="24"/>
              </w:rPr>
            </w:pPr>
            <w:r>
              <w:rPr>
                <w:rFonts w:hint="eastAsia"/>
                <w:b/>
                <w:sz w:val="24"/>
              </w:rPr>
              <w:t>技术服务质量标准：</w:t>
            </w:r>
          </w:p>
          <w:p>
            <w:pPr>
              <w:rPr>
                <w:sz w:val="24"/>
              </w:rPr>
            </w:pPr>
            <w:r>
              <w:rPr>
                <w:rFonts w:hint="eastAsia"/>
                <w:sz w:val="24"/>
              </w:rPr>
              <w:t>植入产品的患者射线防护规范准确。</w:t>
            </w:r>
          </w:p>
        </w:tc>
        <w:tc>
          <w:tcPr>
            <w:tcW w:w="1226" w:type="dxa"/>
          </w:tcPr>
          <w:p>
            <w:pPr>
              <w:rPr>
                <w:sz w:val="24"/>
              </w:rPr>
            </w:pPr>
            <w:r>
              <w:rPr>
                <w:sz w:val="24"/>
              </w:rPr>
              <w:t>配备射线监测仪</w:t>
            </w:r>
            <w:r>
              <w:rPr>
                <w:rFonts w:hint="eastAsia"/>
                <w:sz w:val="24"/>
              </w:rPr>
              <w:t>、辐射</w:t>
            </w:r>
            <w:r>
              <w:rPr>
                <w:sz w:val="24"/>
              </w:rPr>
              <w:t>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9" w:type="dxa"/>
            <w:gridSpan w:val="3"/>
          </w:tcPr>
          <w:p>
            <w:pPr>
              <w:jc w:val="center"/>
              <w:rPr>
                <w:b/>
                <w:sz w:val="24"/>
              </w:rPr>
            </w:pPr>
            <w:r>
              <w:rPr>
                <w:b/>
                <w:sz w:val="24"/>
              </w:rPr>
              <w:t>三</w:t>
            </w:r>
            <w:r>
              <w:rPr>
                <w:rFonts w:hint="eastAsia"/>
                <w:b/>
                <w:sz w:val="24"/>
              </w:rPr>
              <w:t>、器具</w:t>
            </w:r>
            <w:r>
              <w:rPr>
                <w:b/>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11、器具的检测和维护及清洁消毒</w:t>
            </w:r>
          </w:p>
          <w:p>
            <w:pPr>
              <w:rPr>
                <w:b/>
                <w:sz w:val="24"/>
              </w:rPr>
            </w:pPr>
          </w:p>
          <w:p>
            <w:pPr>
              <w:rPr>
                <w:b/>
                <w:sz w:val="24"/>
              </w:rPr>
            </w:pPr>
          </w:p>
        </w:tc>
        <w:tc>
          <w:tcPr>
            <w:tcW w:w="5798" w:type="dxa"/>
          </w:tcPr>
          <w:p>
            <w:pPr>
              <w:rPr>
                <w:rFonts w:ascii="宋体" w:hAnsi="宋体"/>
                <w:bCs/>
                <w:sz w:val="24"/>
              </w:rPr>
            </w:pPr>
            <w:r>
              <w:rPr>
                <w:rFonts w:hint="eastAsia"/>
                <w:sz w:val="24"/>
              </w:rPr>
              <w:t>操作过产品的器具用射线监测仪进行检测，射线监测仪设置为报警状态</w:t>
            </w:r>
            <w:r>
              <w:rPr>
                <w:rFonts w:hint="eastAsia" w:ascii="宋体" w:hAnsi="宋体"/>
                <w:bCs/>
                <w:sz w:val="24"/>
              </w:rPr>
              <w:t>，检测是否有产品遗漏在器具内，遗漏的产品捡回放入防护罐内；把使用过产品的器具用专用工具进行拆解，用沾有去污剂的棉絮对每个器具组件擦拭3次，擦拭过的棉絮放入专用不锈钢垃圾桶，用表面沾污仪对擦拭过的器具进行表面污染检测，辐射剂量水平达到本底水平时，冲洗擦拭过的器具组件，冲洗后再用超声波清洗机清洗器具组件30分钟。用脉动高压蒸汽锅消毒器具15～20分钟。</w:t>
            </w:r>
          </w:p>
          <w:p>
            <w:pPr>
              <w:rPr>
                <w:rFonts w:ascii="宋体" w:hAnsi="宋体"/>
                <w:b/>
                <w:bCs/>
                <w:sz w:val="24"/>
              </w:rPr>
            </w:pPr>
            <w:r>
              <w:rPr>
                <w:rFonts w:hint="eastAsia" w:ascii="宋体" w:hAnsi="宋体"/>
                <w:b/>
                <w:bCs/>
                <w:sz w:val="24"/>
              </w:rPr>
              <w:t>技术服务质量标准：</w:t>
            </w:r>
          </w:p>
          <w:p>
            <w:pPr>
              <w:rPr>
                <w:rFonts w:ascii="宋体" w:hAnsi="宋体"/>
                <w:bCs/>
                <w:sz w:val="24"/>
              </w:rPr>
            </w:pPr>
            <w:r>
              <w:rPr>
                <w:rFonts w:hint="eastAsia" w:ascii="宋体" w:hAnsi="宋体"/>
                <w:bCs/>
                <w:sz w:val="24"/>
              </w:rPr>
              <w:t>器具组件需清洁无污染</w:t>
            </w:r>
          </w:p>
        </w:tc>
        <w:tc>
          <w:tcPr>
            <w:tcW w:w="1226" w:type="dxa"/>
          </w:tcPr>
          <w:p>
            <w:pPr>
              <w:rPr>
                <w:sz w:val="24"/>
              </w:rPr>
            </w:pPr>
            <w:r>
              <w:rPr>
                <w:rFonts w:hint="eastAsia"/>
                <w:sz w:val="24"/>
              </w:rPr>
              <w:t>配备射线监测仪、表面沾污仪。超声波清洗机、脉动高压蒸汽锅，去污剂、防护器具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12、器具的组装和测试及防护性能检测</w:t>
            </w:r>
          </w:p>
          <w:p>
            <w:pPr>
              <w:rPr>
                <w:b/>
                <w:sz w:val="24"/>
              </w:rPr>
            </w:pPr>
          </w:p>
          <w:p>
            <w:pPr>
              <w:rPr>
                <w:sz w:val="24"/>
              </w:rPr>
            </w:pPr>
            <w:r>
              <w:rPr>
                <w:rFonts w:hint="eastAsia"/>
                <w:sz w:val="24"/>
              </w:rPr>
              <w:t>拆分项如下：</w:t>
            </w:r>
          </w:p>
          <w:p>
            <w:pPr>
              <w:rPr>
                <w:sz w:val="24"/>
              </w:rPr>
            </w:pPr>
            <w:r>
              <w:rPr>
                <w:rFonts w:hint="eastAsia"/>
                <w:sz w:val="24"/>
              </w:rPr>
              <w:t>1、器具的组装、测试</w:t>
            </w:r>
          </w:p>
          <w:p>
            <w:pPr>
              <w:rPr>
                <w:sz w:val="24"/>
              </w:rPr>
            </w:pPr>
          </w:p>
          <w:p>
            <w:pPr>
              <w:rPr>
                <w:sz w:val="24"/>
              </w:rPr>
            </w:pPr>
            <w:r>
              <w:rPr>
                <w:rFonts w:hint="eastAsia"/>
                <w:sz w:val="24"/>
              </w:rPr>
              <w:t>2、器具的防护性能检测</w:t>
            </w:r>
          </w:p>
        </w:tc>
        <w:tc>
          <w:tcPr>
            <w:tcW w:w="5798" w:type="dxa"/>
          </w:tcPr>
          <w:p>
            <w:pPr>
              <w:jc w:val="left"/>
              <w:rPr>
                <w:sz w:val="24"/>
              </w:rPr>
            </w:pPr>
            <w:r>
              <w:rPr>
                <w:rFonts w:hint="eastAsia"/>
                <w:sz w:val="24"/>
              </w:rPr>
              <w:t>检查器具的各组件的性能，更换螺丝、弹簧易损件，重新组装器具；随机取产品10颗，装入需测试的每个弹夹内，将弹夹插入植入器具，用推杆推送产品，测试产品在植入器具内推送的通畅性；测试后将产品装入玻璃瓶内密封，再将玻璃瓶放入铅罐内密封，射线监测仪设置在报警状态，巡测装载平台。</w:t>
            </w:r>
          </w:p>
          <w:p>
            <w:pPr>
              <w:rPr>
                <w:sz w:val="24"/>
              </w:rPr>
            </w:pPr>
            <w:r>
              <w:rPr>
                <w:rFonts w:hint="eastAsia"/>
                <w:sz w:val="24"/>
              </w:rPr>
              <w:t>在检测器具屏蔽射线防护性能时，器具外的表面辐射水平需达到本底水平</w:t>
            </w:r>
            <w:r>
              <w:rPr>
                <w:rFonts w:hint="eastAsia" w:ascii="宋体" w:hAnsi="宋体"/>
                <w:bCs/>
                <w:sz w:val="24"/>
              </w:rPr>
              <w:t>；检测时射线监测仪探头部位距器具各方位表面3cm，对装有10颗产品的每个器具进行辐射水平检测。</w:t>
            </w:r>
            <w:r>
              <w:rPr>
                <w:rFonts w:hint="eastAsia"/>
                <w:sz w:val="24"/>
              </w:rPr>
              <w:t>整个测试过程穿戴防护衣、防护眼镜、防护手套，并在防护箱内完成操作，配备射线监测仪。</w:t>
            </w:r>
          </w:p>
          <w:p>
            <w:pPr>
              <w:rPr>
                <w:b/>
                <w:sz w:val="24"/>
              </w:rPr>
            </w:pPr>
            <w:r>
              <w:rPr>
                <w:rFonts w:hint="eastAsia"/>
                <w:b/>
                <w:sz w:val="24"/>
              </w:rPr>
              <w:t>技术服务质量标准：</w:t>
            </w:r>
          </w:p>
          <w:p>
            <w:pPr>
              <w:rPr>
                <w:sz w:val="24"/>
              </w:rPr>
            </w:pPr>
            <w:r>
              <w:rPr>
                <w:rFonts w:hint="eastAsia"/>
                <w:sz w:val="24"/>
              </w:rPr>
              <w:t>组装后的器具推送产品时通畅性能优良，装有产品的器具外的表面辐射水平需为本底水平。</w:t>
            </w:r>
          </w:p>
        </w:tc>
        <w:tc>
          <w:tcPr>
            <w:tcW w:w="1226" w:type="dxa"/>
          </w:tcPr>
          <w:p>
            <w:pPr>
              <w:rPr>
                <w:sz w:val="24"/>
              </w:rPr>
            </w:pPr>
            <w:r>
              <w:rPr>
                <w:rFonts w:hint="eastAsia"/>
                <w:sz w:val="24"/>
              </w:rPr>
              <w:t>配备射线监测仪、辐射防护用品和用具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13、用具的去污和检测及消毒</w:t>
            </w:r>
          </w:p>
        </w:tc>
        <w:tc>
          <w:tcPr>
            <w:tcW w:w="5798" w:type="dxa"/>
          </w:tcPr>
          <w:p>
            <w:pPr>
              <w:rPr>
                <w:sz w:val="24"/>
              </w:rPr>
            </w:pPr>
            <w:r>
              <w:rPr>
                <w:rFonts w:hint="eastAsia"/>
                <w:sz w:val="24"/>
              </w:rPr>
              <w:t>接触过产品的托盘、装载用具，每次使用后用去污剂进行去污，擦拭过的物品放入专用不锈钢垃圾桶；用射线监测仪进行检测，当辐射剂量水平为本底水平时再清洗用具，清洗过的用具高温高压消毒15~20分钟。</w:t>
            </w:r>
          </w:p>
          <w:p>
            <w:pPr>
              <w:rPr>
                <w:b/>
                <w:sz w:val="24"/>
              </w:rPr>
            </w:pPr>
            <w:r>
              <w:rPr>
                <w:rFonts w:hint="eastAsia"/>
                <w:b/>
                <w:sz w:val="24"/>
              </w:rPr>
              <w:t>技术服务质量标准：</w:t>
            </w:r>
          </w:p>
          <w:p>
            <w:pPr>
              <w:rPr>
                <w:sz w:val="24"/>
              </w:rPr>
            </w:pPr>
            <w:r>
              <w:rPr>
                <w:sz w:val="24"/>
              </w:rPr>
              <w:t>所有接触过产品的用具去污标准需达到表面辐射水平为本底水平</w:t>
            </w:r>
            <w:r>
              <w:rPr>
                <w:rFonts w:hint="eastAsia"/>
                <w:sz w:val="24"/>
              </w:rPr>
              <w:t>。</w:t>
            </w:r>
          </w:p>
        </w:tc>
        <w:tc>
          <w:tcPr>
            <w:tcW w:w="1226" w:type="dxa"/>
          </w:tcPr>
          <w:p>
            <w:pPr>
              <w:rPr>
                <w:sz w:val="24"/>
              </w:rPr>
            </w:pPr>
            <w:r>
              <w:rPr>
                <w:rFonts w:hint="eastAsia"/>
                <w:sz w:val="24"/>
              </w:rPr>
              <w:t>配备射线监测仪、高压蒸汽锅，去污剂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b/>
                <w:sz w:val="24"/>
              </w:rPr>
            </w:pPr>
            <w:r>
              <w:rPr>
                <w:rFonts w:hint="eastAsia"/>
                <w:b/>
                <w:sz w:val="24"/>
              </w:rPr>
              <w:t>14、仪器的组装和测试及消毒</w:t>
            </w:r>
          </w:p>
        </w:tc>
        <w:tc>
          <w:tcPr>
            <w:tcW w:w="5798" w:type="dxa"/>
          </w:tcPr>
          <w:p>
            <w:pPr>
              <w:rPr>
                <w:sz w:val="24"/>
              </w:rPr>
            </w:pPr>
            <w:r>
              <w:rPr>
                <w:rFonts w:hint="eastAsia"/>
                <w:sz w:val="24"/>
              </w:rPr>
              <w:t>步进器装置使用前对卡具牢固性、支架万向节旋转性等部件性能进行调试，调试后进行部件组装，组装后按0.5cm一个档位测试步进通畅度和卡位精准度，用倾角仪测试步进刻盘位点和模板标线的对位度。步进器装置使用后进行常规清洁和消毒。</w:t>
            </w:r>
          </w:p>
          <w:p>
            <w:pPr>
              <w:rPr>
                <w:b/>
                <w:sz w:val="24"/>
              </w:rPr>
            </w:pPr>
            <w:r>
              <w:rPr>
                <w:rFonts w:hint="eastAsia"/>
                <w:b/>
                <w:sz w:val="24"/>
              </w:rPr>
              <w:t>技术服务质量标准：</w:t>
            </w:r>
          </w:p>
          <w:p>
            <w:pPr>
              <w:rPr>
                <w:sz w:val="24"/>
              </w:rPr>
            </w:pPr>
            <w:r>
              <w:rPr>
                <w:sz w:val="24"/>
              </w:rPr>
              <w:t>器具固定牢固不晃动</w:t>
            </w:r>
            <w:r>
              <w:rPr>
                <w:rFonts w:hint="eastAsia"/>
                <w:sz w:val="24"/>
              </w:rPr>
              <w:t>，</w:t>
            </w:r>
            <w:r>
              <w:rPr>
                <w:sz w:val="24"/>
              </w:rPr>
              <w:t>器具卡位精确</w:t>
            </w:r>
            <w:r>
              <w:rPr>
                <w:rFonts w:hint="eastAsia"/>
                <w:sz w:val="24"/>
              </w:rPr>
              <w:t>，步进刻盘位点和模板标线的对位度精准。</w:t>
            </w:r>
          </w:p>
        </w:tc>
        <w:tc>
          <w:tcPr>
            <w:tcW w:w="1226" w:type="dxa"/>
          </w:tcPr>
          <w:p>
            <w:pPr>
              <w:rPr>
                <w:sz w:val="24"/>
              </w:rPr>
            </w:pPr>
            <w:r>
              <w:rPr>
                <w:sz w:val="24"/>
              </w:rPr>
              <w:t>步进器</w:t>
            </w:r>
            <w:r>
              <w:rPr>
                <w:rFonts w:hint="eastAsia"/>
                <w:sz w:val="24"/>
              </w:rPr>
              <w:t>、步进器支架、倾角仪、消毒剂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9" w:type="dxa"/>
            <w:gridSpan w:val="3"/>
          </w:tcPr>
          <w:p>
            <w:pPr>
              <w:jc w:val="center"/>
              <w:rPr>
                <w:b/>
                <w:sz w:val="24"/>
              </w:rPr>
            </w:pPr>
            <w:r>
              <w:rPr>
                <w:b/>
                <w:sz w:val="24"/>
              </w:rPr>
              <w:t>综合技术服务项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Pr>
          <w:p>
            <w:pPr>
              <w:rPr>
                <w:sz w:val="24"/>
              </w:rPr>
            </w:pPr>
            <w:r>
              <w:rPr>
                <w:rFonts w:hint="eastAsia"/>
                <w:sz w:val="24"/>
              </w:rPr>
              <w:t>15、</w:t>
            </w:r>
          </w:p>
        </w:tc>
        <w:tc>
          <w:tcPr>
            <w:tcW w:w="5798" w:type="dxa"/>
          </w:tcPr>
          <w:p>
            <w:pPr>
              <w:ind w:firstLine="480" w:firstLineChars="200"/>
              <w:rPr>
                <w:sz w:val="24"/>
              </w:rPr>
            </w:pPr>
            <w:r>
              <w:rPr>
                <w:sz w:val="24"/>
              </w:rPr>
              <w:t>为用户开展产品的技术论证</w:t>
            </w:r>
            <w:r>
              <w:rPr>
                <w:rFonts w:hint="eastAsia"/>
                <w:sz w:val="24"/>
              </w:rPr>
              <w:t>、技术条件、技术路线、技术方案、技术体系建设提供相应咨询和技术服务。</w:t>
            </w:r>
          </w:p>
          <w:p>
            <w:pPr>
              <w:rPr>
                <w:sz w:val="24"/>
              </w:rPr>
            </w:pPr>
            <w:r>
              <w:rPr>
                <w:rFonts w:hint="eastAsia"/>
                <w:sz w:val="24"/>
              </w:rPr>
              <w:t xml:space="preserve">   为用户开展产品的工作场所防护评价、人员剂量评价、工作场所剂量检测、个人剂量监测、证照资质提供相应咨询和技术服务。</w:t>
            </w:r>
          </w:p>
        </w:tc>
        <w:tc>
          <w:tcPr>
            <w:tcW w:w="1226" w:type="dxa"/>
          </w:tcPr>
          <w:p>
            <w:pPr>
              <w:rPr>
                <w:sz w:val="24"/>
              </w:rPr>
            </w:pPr>
          </w:p>
        </w:tc>
      </w:tr>
    </w:tbl>
    <w:p>
      <w:pPr>
        <w:ind w:firstLine="420"/>
        <w:rPr>
          <w:rFonts w:ascii="仿宋" w:hAnsi="仿宋" w:eastAsia="仿宋"/>
          <w:szCs w:val="21"/>
        </w:rPr>
      </w:pPr>
    </w:p>
    <w:p>
      <w:pPr>
        <w:ind w:firstLine="562" w:firstLineChars="200"/>
        <w:outlineLvl w:val="3"/>
        <w:rPr>
          <w:rFonts w:ascii="宋体" w:hAnsi="宋体" w:cs="宋体"/>
          <w:b/>
          <w:color w:val="FF0000"/>
          <w:sz w:val="28"/>
          <w:szCs w:val="28"/>
        </w:rPr>
      </w:pPr>
      <w:r>
        <w:rPr>
          <w:rFonts w:hint="eastAsia" w:ascii="宋体" w:hAnsi="宋体" w:cs="宋体"/>
          <w:b/>
          <w:sz w:val="28"/>
          <w:szCs w:val="28"/>
        </w:rPr>
        <w:t xml:space="preserve">二、付款结算 </w:t>
      </w:r>
      <w:r>
        <w:rPr>
          <w:rFonts w:ascii="宋体" w:hAnsi="宋体" w:cs="宋体"/>
          <w:b/>
          <w:color w:val="FF0000"/>
          <w:sz w:val="28"/>
          <w:szCs w:val="28"/>
        </w:rPr>
        <w:t xml:space="preserve"> </w:t>
      </w:r>
    </w:p>
    <w:p>
      <w:pPr>
        <w:ind w:firstLine="420"/>
        <w:rPr>
          <w:rFonts w:ascii="宋体" w:hAnsi="宋体" w:cs="宋体"/>
          <w:sz w:val="28"/>
          <w:szCs w:val="28"/>
        </w:rPr>
      </w:pPr>
      <w:r>
        <w:rPr>
          <w:rFonts w:hint="eastAsia" w:ascii="宋体" w:hAnsi="宋体" w:cs="宋体"/>
          <w:sz w:val="28"/>
          <w:szCs w:val="28"/>
        </w:rPr>
        <w:t>采购人按下列程序付款：</w:t>
      </w:r>
    </w:p>
    <w:p>
      <w:pPr>
        <w:ind w:firstLine="420"/>
        <w:rPr>
          <w:rFonts w:ascii="宋体" w:hAnsi="宋体" w:cs="宋体"/>
          <w:sz w:val="28"/>
          <w:szCs w:val="28"/>
        </w:rPr>
      </w:pPr>
      <w:r>
        <w:rPr>
          <w:rFonts w:hint="eastAsia" w:ascii="宋体" w:hAnsi="宋体" w:cs="宋体"/>
          <w:sz w:val="28"/>
          <w:szCs w:val="28"/>
        </w:rPr>
        <w:t>1、付款方式：每月按实际服务工作量结算，付款账期为3个月。</w:t>
      </w:r>
    </w:p>
    <w:p>
      <w:pPr>
        <w:ind w:firstLine="420"/>
        <w:rPr>
          <w:rFonts w:ascii="宋体" w:hAnsi="宋体" w:cs="宋体"/>
          <w:sz w:val="28"/>
          <w:szCs w:val="28"/>
        </w:rPr>
      </w:pPr>
      <w:r>
        <w:rPr>
          <w:rFonts w:hint="eastAsia" w:ascii="宋体" w:hAnsi="宋体" w:cs="宋体"/>
          <w:sz w:val="28"/>
          <w:szCs w:val="28"/>
        </w:rPr>
        <w:t>2、</w:t>
      </w:r>
      <w:r>
        <w:rPr>
          <w:rFonts w:hint="eastAsia" w:ascii="宋体" w:hAnsi="宋体" w:cs="宋体"/>
          <w:color w:val="auto"/>
          <w:sz w:val="28"/>
          <w:szCs w:val="28"/>
          <w:lang w:val="en-US" w:eastAsia="zh-CN"/>
        </w:rPr>
        <w:t>服务费</w:t>
      </w:r>
      <w:r>
        <w:rPr>
          <w:rFonts w:hint="eastAsia" w:ascii="宋体" w:hAnsi="宋体" w:cs="宋体"/>
          <w:color w:val="auto"/>
          <w:sz w:val="28"/>
          <w:szCs w:val="28"/>
        </w:rPr>
        <w:t>结算</w:t>
      </w:r>
      <w:r>
        <w:rPr>
          <w:rFonts w:hint="eastAsia" w:ascii="宋体" w:hAnsi="宋体" w:cs="宋体"/>
          <w:sz w:val="28"/>
          <w:szCs w:val="28"/>
        </w:rPr>
        <w:t>方式：按实际技术服务项目的数量×项目单价。</w:t>
      </w:r>
    </w:p>
    <w:p>
      <w:pPr>
        <w:ind w:firstLine="420"/>
        <w:rPr>
          <w:rFonts w:ascii="宋体" w:hAnsi="宋体" w:cs="宋体"/>
          <w:sz w:val="28"/>
          <w:szCs w:val="28"/>
        </w:rPr>
      </w:pPr>
      <w:r>
        <w:rPr>
          <w:rFonts w:hint="eastAsia" w:ascii="宋体" w:hAnsi="宋体" w:cs="宋体"/>
          <w:sz w:val="28"/>
          <w:szCs w:val="28"/>
        </w:rPr>
        <w:t>3、付款方式：银行汇款。</w:t>
      </w:r>
    </w:p>
    <w:p>
      <w:pPr>
        <w:ind w:firstLine="420"/>
        <w:rPr>
          <w:rFonts w:ascii="宋体" w:hAnsi="宋体" w:cs="宋体"/>
          <w:sz w:val="28"/>
          <w:szCs w:val="28"/>
        </w:rPr>
      </w:pPr>
      <w:r>
        <w:rPr>
          <w:rFonts w:hint="eastAsia" w:ascii="宋体" w:hAnsi="宋体" w:cs="宋体"/>
          <w:sz w:val="28"/>
          <w:szCs w:val="28"/>
        </w:rPr>
        <w:t>4、按合同支付款项前，技术服务商必须先向采购人提供与支付金额相符的有效发票。</w:t>
      </w:r>
    </w:p>
    <w:p>
      <w:pPr>
        <w:jc w:val="center"/>
        <w:outlineLvl w:val="2"/>
        <w:rPr>
          <w:rFonts w:ascii="宋体" w:hAnsi="宋体" w:cs="宋体"/>
          <w:b/>
          <w:sz w:val="28"/>
          <w:szCs w:val="28"/>
        </w:rPr>
      </w:pPr>
      <w:r>
        <w:rPr>
          <w:rFonts w:hint="eastAsia" w:ascii="宋体" w:hAnsi="宋体" w:cs="宋体"/>
          <w:b/>
          <w:sz w:val="28"/>
          <w:szCs w:val="28"/>
        </w:rPr>
        <w:br w:type="page"/>
      </w:r>
    </w:p>
    <w:p>
      <w:pPr>
        <w:widowControl/>
        <w:jc w:val="left"/>
        <w:rPr>
          <w:rFonts w:ascii="仿宋" w:hAnsi="仿宋" w:eastAsia="仿宋"/>
          <w:b/>
          <w:szCs w:val="21"/>
        </w:rPr>
      </w:pPr>
    </w:p>
    <w:p>
      <w:pPr>
        <w:widowControl/>
        <w:jc w:val="left"/>
        <w:rPr>
          <w:rFonts w:ascii="仿宋" w:hAnsi="仿宋" w:eastAsia="仿宋"/>
          <w:b/>
          <w:szCs w:val="21"/>
        </w:rPr>
      </w:pPr>
    </w:p>
    <w:p>
      <w:pPr>
        <w:jc w:val="left"/>
        <w:outlineLvl w:val="1"/>
        <w:rPr>
          <w:rFonts w:ascii="宋体" w:hAnsi="宋体" w:cs="宋体"/>
          <w:b/>
          <w:sz w:val="32"/>
          <w:szCs w:val="32"/>
        </w:rPr>
      </w:pPr>
      <w:bookmarkStart w:id="6" w:name="_Toc202251075"/>
      <w:bookmarkStart w:id="7" w:name="_Toc202252034"/>
      <w:bookmarkStart w:id="8" w:name="_Toc202251700"/>
      <w:bookmarkStart w:id="9" w:name="_Toc202816996"/>
      <w:bookmarkStart w:id="10" w:name="_Toc202820351"/>
      <w:bookmarkStart w:id="11" w:name="_Toc202254105"/>
      <w:bookmarkStart w:id="12" w:name="_Toc202819878"/>
      <w:r>
        <w:rPr>
          <w:rFonts w:hint="eastAsia" w:ascii="宋体" w:hAnsi="宋体" w:cs="宋体"/>
          <w:b/>
          <w:sz w:val="32"/>
          <w:szCs w:val="32"/>
        </w:rPr>
        <w:t>第三部分：投标人资格</w:t>
      </w:r>
      <w:bookmarkEnd w:id="6"/>
      <w:bookmarkEnd w:id="7"/>
      <w:bookmarkEnd w:id="8"/>
      <w:bookmarkEnd w:id="9"/>
      <w:bookmarkEnd w:id="10"/>
      <w:bookmarkEnd w:id="11"/>
      <w:bookmarkEnd w:id="12"/>
      <w:r>
        <w:rPr>
          <w:rFonts w:hint="eastAsia" w:ascii="宋体" w:hAnsi="宋体" w:cs="宋体"/>
          <w:b/>
          <w:sz w:val="32"/>
          <w:szCs w:val="32"/>
        </w:rPr>
        <w:t>要求</w:t>
      </w:r>
    </w:p>
    <w:p>
      <w:pPr>
        <w:autoSpaceDE w:val="0"/>
        <w:autoSpaceDN w:val="0"/>
        <w:ind w:firstLine="560" w:firstLineChars="200"/>
        <w:rPr>
          <w:rFonts w:ascii="宋体" w:hAnsi="宋体" w:cs="宋体"/>
          <w:sz w:val="28"/>
          <w:szCs w:val="28"/>
        </w:rPr>
      </w:pPr>
    </w:p>
    <w:p>
      <w:pPr>
        <w:autoSpaceDE w:val="0"/>
        <w:autoSpaceDN w:val="0"/>
        <w:ind w:firstLine="560" w:firstLineChars="200"/>
        <w:rPr>
          <w:rFonts w:ascii="宋体" w:hAnsi="宋体" w:cs="宋体"/>
          <w:sz w:val="28"/>
          <w:szCs w:val="28"/>
          <w:lang w:val="zh-CN"/>
        </w:rPr>
      </w:pPr>
      <w:r>
        <w:rPr>
          <w:rFonts w:hint="eastAsia" w:ascii="宋体" w:hAnsi="宋体" w:cs="宋体"/>
          <w:sz w:val="28"/>
          <w:szCs w:val="28"/>
        </w:rPr>
        <w:t>一</w:t>
      </w:r>
      <w:r>
        <w:rPr>
          <w:rFonts w:hint="eastAsia" w:ascii="宋体" w:hAnsi="宋体" w:cs="宋体"/>
          <w:sz w:val="28"/>
          <w:szCs w:val="28"/>
          <w:lang w:val="zh-CN"/>
        </w:rPr>
        <w:t>、投标人资格要求</w:t>
      </w:r>
    </w:p>
    <w:p>
      <w:pPr>
        <w:autoSpaceDE w:val="0"/>
        <w:autoSpaceDN w:val="0"/>
        <w:ind w:firstLine="560" w:firstLineChars="200"/>
        <w:rPr>
          <w:rFonts w:ascii="宋体" w:hAnsi="宋体" w:cs="宋体"/>
          <w:sz w:val="28"/>
          <w:szCs w:val="28"/>
        </w:rPr>
      </w:pPr>
      <w:r>
        <w:rPr>
          <w:rFonts w:hint="eastAsia" w:ascii="宋体" w:hAnsi="宋体" w:cs="宋体"/>
          <w:sz w:val="28"/>
          <w:szCs w:val="28"/>
        </w:rPr>
        <w:t>1、投标人是在中华人民共和国境内注册的具有独立承担民事责任能力的法人或其他组织；</w:t>
      </w:r>
    </w:p>
    <w:p>
      <w:pPr>
        <w:autoSpaceDE w:val="0"/>
        <w:autoSpaceDN w:val="0"/>
        <w:ind w:firstLine="560" w:firstLineChars="200"/>
        <w:rPr>
          <w:rFonts w:hint="eastAsia" w:ascii="宋体" w:hAnsi="宋体" w:eastAsia="宋体" w:cs="宋体"/>
          <w:sz w:val="28"/>
          <w:szCs w:val="28"/>
          <w:lang w:eastAsia="zh-CN"/>
        </w:rPr>
      </w:pPr>
      <w:r>
        <w:rPr>
          <w:rFonts w:hint="eastAsia" w:ascii="宋体" w:hAnsi="宋体" w:cs="宋体"/>
          <w:sz w:val="28"/>
          <w:szCs w:val="28"/>
        </w:rPr>
        <w:t>2、投标人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r>
        <w:rPr>
          <w:rFonts w:hint="eastAsia" w:ascii="宋体" w:hAnsi="宋体" w:cs="宋体"/>
          <w:sz w:val="28"/>
          <w:szCs w:val="28"/>
          <w:lang w:eastAsia="zh-CN"/>
        </w:rPr>
        <w:t>；</w:t>
      </w:r>
    </w:p>
    <w:p>
      <w:pPr>
        <w:autoSpaceDE w:val="0"/>
        <w:autoSpaceDN w:val="0"/>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3、投标人具备从事技术服务的人员和相关设备、器械，能够满足采购人用户的服务需求。</w:t>
      </w:r>
    </w:p>
    <w:p>
      <w:pPr>
        <w:autoSpaceDE w:val="0"/>
        <w:autoSpaceDN w:val="0"/>
        <w:ind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4、投标人如果有从事辐射防护相关项目经验以及配备国家或省级环保部门颁发的上岗证书人员，采购方优先考虑。</w:t>
      </w:r>
    </w:p>
    <w:p>
      <w:pPr>
        <w:adjustRightInd w:val="0"/>
        <w:snapToGrid w:val="0"/>
        <w:rPr>
          <w:rFonts w:ascii="仿宋" w:hAnsi="仿宋" w:eastAsia="仿宋"/>
          <w:sz w:val="24"/>
        </w:rPr>
      </w:pPr>
    </w:p>
    <w:p/>
    <w:p/>
    <w:p/>
    <w:p/>
    <w:p/>
    <w:p/>
    <w:p/>
    <w:p/>
    <w:p/>
    <w:p/>
    <w:p/>
    <w:p/>
    <w:p/>
    <w:p/>
    <w:p/>
    <w:p/>
    <w:p/>
    <w:p/>
    <w:p/>
    <w:p/>
    <w:p/>
    <w:p/>
    <w:p>
      <w:pPr>
        <w:jc w:val="left"/>
        <w:rPr>
          <w:b/>
          <w:bCs/>
          <w:sz w:val="32"/>
          <w:szCs w:val="32"/>
        </w:rPr>
      </w:pPr>
      <w:r>
        <w:rPr>
          <w:rFonts w:hint="eastAsia"/>
          <w:b/>
          <w:bCs/>
          <w:sz w:val="32"/>
          <w:szCs w:val="32"/>
        </w:rPr>
        <w:t>第四部分：合同格式</w:t>
      </w:r>
    </w:p>
    <w:p>
      <w:pPr>
        <w:jc w:val="left"/>
        <w:rPr>
          <w:rFonts w:hint="default" w:ascii="宋体" w:hAnsi="宋体" w:eastAsia="宋体" w:cs="宋体"/>
          <w:b/>
          <w:bCs/>
          <w:sz w:val="32"/>
          <w:szCs w:val="32"/>
          <w:lang w:val="en-US" w:eastAsia="zh-CN"/>
        </w:rPr>
      </w:pPr>
      <w:r>
        <w:rPr>
          <w:rFonts w:hint="eastAsia" w:ascii="宋体" w:hAnsi="宋体" w:cs="宋体"/>
          <w:b/>
          <w:bCs/>
          <w:sz w:val="32"/>
          <w:szCs w:val="32"/>
          <w:lang w:val="en-US" w:eastAsia="zh-CN"/>
        </w:rPr>
        <w:t>具体参见采购人提供的合同模板。</w:t>
      </w:r>
    </w:p>
    <w:sectPr>
      <w:pgSz w:w="11906" w:h="16838"/>
      <w:pgMar w:top="14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36836"/>
    <w:multiLevelType w:val="multilevel"/>
    <w:tmpl w:val="5E9368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NDJlODE1YmM1MzZiMDNlMThmYjUxZTQ3MzIxY2QifQ=="/>
  </w:docVars>
  <w:rsids>
    <w:rsidRoot w:val="70A3409A"/>
    <w:rsid w:val="00116314"/>
    <w:rsid w:val="001232EC"/>
    <w:rsid w:val="00A54471"/>
    <w:rsid w:val="00BB3C79"/>
    <w:rsid w:val="00D40056"/>
    <w:rsid w:val="00EC1B4B"/>
    <w:rsid w:val="00F870EA"/>
    <w:rsid w:val="04B30159"/>
    <w:rsid w:val="70A3409A"/>
    <w:rsid w:val="73D2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cs="Arial"/>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tabs>
        <w:tab w:val="center" w:pos="4153"/>
        <w:tab w:val="right" w:pos="8306"/>
      </w:tabs>
      <w:snapToGrid w:val="0"/>
      <w:jc w:val="center"/>
    </w:pPr>
    <w:rPr>
      <w:sz w:val="18"/>
      <w:szCs w:val="18"/>
    </w:rPr>
  </w:style>
  <w:style w:type="paragraph" w:styleId="5">
    <w:name w:val="toc 1"/>
    <w:basedOn w:val="1"/>
    <w:next w:val="1"/>
    <w:qFormat/>
    <w:uiPriority w:val="39"/>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99"/>
    <w:rPr>
      <w:color w:val="0000FF"/>
      <w:u w:val="none"/>
    </w:rPr>
  </w:style>
  <w:style w:type="paragraph" w:styleId="11">
    <w:name w:val="List Paragraph"/>
    <w:basedOn w:val="1"/>
    <w:qFormat/>
    <w:uiPriority w:val="34"/>
    <w:pPr>
      <w:ind w:firstLine="420" w:firstLineChars="200"/>
    </w:pPr>
  </w:style>
  <w:style w:type="paragraph" w:customStyle="1" w:styleId="12">
    <w:name w:val="表格文字"/>
    <w:basedOn w:val="1"/>
    <w:qFormat/>
    <w:uiPriority w:val="0"/>
    <w:pPr>
      <w:spacing w:before="25" w:after="25"/>
      <w:jc w:val="left"/>
    </w:pPr>
    <w:rPr>
      <w:bCs/>
      <w:spacing w:val="10"/>
      <w:kern w:val="0"/>
      <w:sz w:val="24"/>
      <w:szCs w:val="20"/>
    </w:rPr>
  </w:style>
  <w:style w:type="paragraph" w:customStyle="1" w:styleId="13">
    <w:name w:val="题注5"/>
    <w:basedOn w:val="1"/>
    <w:next w:val="2"/>
    <w:qFormat/>
    <w:uiPriority w:val="0"/>
    <w:pPr>
      <w:jc w:val="center"/>
    </w:pPr>
    <w:rPr>
      <w:b/>
      <w:color w:val="000000"/>
      <w:sz w:val="24"/>
      <w:szCs w:val="21"/>
    </w:rPr>
  </w:style>
  <w:style w:type="paragraph" w:customStyle="1" w:styleId="14">
    <w:name w:val="题注4"/>
    <w:basedOn w:val="1"/>
    <w:next w:val="2"/>
    <w:qFormat/>
    <w:uiPriority w:val="0"/>
    <w:pPr>
      <w:ind w:left="-132" w:leftChars="-64" w:right="-105" w:rightChars="-50" w:hanging="2"/>
      <w:jc w:val="center"/>
    </w:pPr>
    <w:rPr>
      <w:b/>
      <w:color w:val="FF0000"/>
      <w:szCs w:val="21"/>
      <w:lang w:val="en-GB"/>
    </w:rPr>
  </w:style>
  <w:style w:type="paragraph" w:customStyle="1" w:styleId="1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16">
    <w:name w:val="页眉 字符"/>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1391</Words>
  <Characters>7930</Characters>
  <Lines>66</Lines>
  <Paragraphs>18</Paragraphs>
  <TotalTime>49</TotalTime>
  <ScaleCrop>false</ScaleCrop>
  <LinksUpToDate>false</LinksUpToDate>
  <CharactersWithSpaces>9303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2023-10-13T05:06:00Z</dcterms:created>
  <dc:creator>大力神2000</dc:creator>
  <cp:lastModifiedBy>大力神2000</cp:lastModifiedBy>
  <dcterms:modified xsi:type="dcterms:W3CDTF">2023-11-02T07:06:01Z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B6B64049E3EC4A548D904A79BDBBD42F_13</vt:lpwstr>
  </property>
</Properties>
</file>